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过程与活动、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涉及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销售部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 xml:space="preserve">  主管领导：</w:t>
            </w: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王明坤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 xml:space="preserve">  陪同人员：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杨月芬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 xml:space="preserve">  审核时间：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202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年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4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月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1日14:00-15:00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1.部门职责和权限；2.销售活动涉及的危险源及其控制措施的持续监视有效性；3.目标部门分解落实情况；4.销售活动涉及的职业健康安全运行情况；5.销售活动涉及的应急准备和响应情况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5.3、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6.1.2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6.2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8.1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szCs w:val="21"/>
              </w:rPr>
              <w:t>按照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领导要求，做好职能和岗位的具体确定，对从事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采购和</w:t>
            </w:r>
            <w:r>
              <w:rPr>
                <w:rFonts w:hint="eastAsia" w:ascii="宋体" w:hAnsi="宋体" w:cs="宋体"/>
                <w:szCs w:val="21"/>
              </w:rPr>
              <w:t>销售有关的管理、执行和验证人员规定其职责、权限及其相互关系，以实现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王明坤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szCs w:val="21"/>
              </w:rPr>
              <w:t>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识别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及其控制措施的策划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6.1.2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查看组织《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职业健康安全危险源调查评价表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》，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销售部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在办公区等场所，按照活动过程调查、识别和确定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、评估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了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，对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的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现在、将来以及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正常、异常、紧急状态进行评价，对应责任部门明确，有相应的保存期限、责任人和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更新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日期，基本满足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识别、确定和保持要求。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销售部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按照《危险源辨识和风险评价程序》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4.2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准则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，利用LEC评价法，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确定了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风险等级，识别出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重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大危险源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，抽查组织《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重大危险源清单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》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，涉及销售部的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内容如下：</w:t>
            </w:r>
          </w:p>
          <w:tbl>
            <w:tblPr>
              <w:tblStyle w:val="6"/>
              <w:tblW w:w="961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2"/>
              <w:gridCol w:w="1370"/>
              <w:gridCol w:w="3694"/>
              <w:gridCol w:w="1306"/>
              <w:gridCol w:w="1194"/>
              <w:gridCol w:w="827"/>
              <w:gridCol w:w="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序号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伤害及风险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危险源/危险因素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涉及区域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时态/状态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危险程度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控制要求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83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火灾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电线老化/短路、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仓储明火、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化学品/油品泄漏等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办公区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70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2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触电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配电箱无防护，开关漏电，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电气设备使用不当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办公区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</w:tbl>
          <w:p>
            <w:pPr>
              <w:ind w:right="-1617" w:firstLine="210" w:firstLineChars="100"/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注：①建立目标和管理方案</w:t>
            </w:r>
            <w:r>
              <w:rPr>
                <w:rFonts w:hint="eastAsia" w:ascii="华文细黑" w:hAnsi="华文细黑" w:cs="华文细黑"/>
                <w:color w:val="auto"/>
                <w:w w:val="100"/>
                <w:sz w:val="21"/>
                <w:szCs w:val="24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②制订应急预案</w:t>
            </w:r>
            <w:r>
              <w:rPr>
                <w:rFonts w:hint="eastAsia" w:ascii="华文细黑" w:hAnsi="华文细黑" w:cs="华文细黑"/>
                <w:color w:val="auto"/>
                <w:w w:val="100"/>
                <w:sz w:val="21"/>
                <w:szCs w:val="24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③常规运作控制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color w:val="558ED5" w:themeColor="text2" w:themeTint="99"/>
                <w:szCs w:val="21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重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大危险源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识别、评价与实际吻合，运行控制和应急准备分别见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8.1和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8.2，控制措施基本能够满足控制要求。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管理目标。</w:t>
            </w:r>
          </w:p>
          <w:p>
            <w:pPr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涉及的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一体化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目标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分解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及实现情况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558ED5" w:themeColor="text2" w:themeTint="99"/>
                <w:szCs w:val="21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558ED5" w:themeColor="text2" w:themeTint="99"/>
                <w:szCs w:val="21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drawing>
                <wp:inline distT="0" distB="0" distL="114300" distR="114300">
                  <wp:extent cx="5296535" cy="1570990"/>
                  <wp:effectExtent l="0" t="0" r="12065" b="38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53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宋体" w:hAnsi="宋体" w:cs="宋体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目标可测量，与管理方针一致。有实施落实的方案， 根据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统计结果，目标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制定了XPK/CX33-2021《环境和职业健康安全运行控制程序》等过程控制准则，根据过程准则要求制定了安全生产规章制度共24项目，包括《职业健康管理制度》、《消防安全管理制度》、《劳动防护用品管理制度》、《安全投入保障制度》等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根据文件要求，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销售部在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运行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策划与控制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管理</w:t>
            </w:r>
            <w:r>
              <w:rPr>
                <w:rFonts w:hint="eastAsia" w:ascii="华文细黑" w:hAnsi="华文细黑" w:cs="华文细黑"/>
                <w:lang w:val="en-US" w:eastAsia="zh-CN"/>
              </w:rPr>
              <w:t>方面基本同办公室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潜在火灾管控：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组织工作场所均配有灭火器，由工业园区统一管理维护，均处于有效状态，且维护记录完整，符合要求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；</w:t>
            </w:r>
          </w:p>
          <w:p>
            <w:pPr>
              <w:bidi w:val="0"/>
              <w:ind w:firstLine="420"/>
              <w:rPr>
                <w:rFonts w:hint="eastAsia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.提供2022年1-3月的劳动防护用品发放记录：记录显示，组织提供的劳动防护用品包括手套、护目镜、电焊手套、耳塞等，基本满足防护物资需求</w:t>
            </w:r>
            <w:r>
              <w:rPr>
                <w:rFonts w:hint="eastAsia" w:ascii="华文细黑" w:hAnsi="华文细黑" w:cs="华文细黑"/>
                <w:lang w:val="en-US" w:eastAsia="zh-CN"/>
              </w:rPr>
              <w:t>；</w:t>
            </w:r>
          </w:p>
          <w:p>
            <w:pPr>
              <w:bidi w:val="0"/>
              <w:ind w:firstLine="420"/>
              <w:rPr>
                <w:rFonts w:hint="default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3.疫情管控：根据当地主管部门和办公室要求实行统一的防疫政策。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其它职业健康安全策划和管控记录见其他部</w:t>
            </w:r>
            <w:r>
              <w:rPr>
                <w:rFonts w:hint="eastAsia" w:ascii="华文细黑" w:hAnsi="华文细黑" w:cs="华文细黑"/>
                <w:lang w:val="en-US" w:eastAsia="zh-CN"/>
              </w:rPr>
              <w:t>门O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8.1。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bidi w:val="0"/>
            </w:pPr>
            <w:r>
              <w:rPr>
                <w:rFonts w:hint="eastAsia"/>
              </w:rPr>
              <w:t>应急响应和准备</w:t>
            </w:r>
          </w:p>
        </w:tc>
        <w:tc>
          <w:tcPr>
            <w:tcW w:w="998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制定了《应急准备和响应程序》和《生产安全事故应急预案》，识别紧急情况如下：1.火灾\爆炸；2.触电；3.自然灾害；4.其它；均规定了相应的应急响应措施，基本覆盖了重要环境因素的内容，符合控制要求，无修订记录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抽查2021年4月6日举行的消防演练记录，内容主要包括演练目的、演练记录、演习过程的图片等信息。记录显示，销售部人员参加了此次演练，基本满足应急准备要求。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截止审核期间，组织未发生事故。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bookmarkStart w:id="0" w:name="_GoBack"/>
    <w:bookmarkEnd w:id="0"/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02D1B"/>
    <w:multiLevelType w:val="multilevel"/>
    <w:tmpl w:val="59F02D1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06A83"/>
    <w:rsid w:val="00011A1F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E48ED"/>
    <w:rsid w:val="001F0E7B"/>
    <w:rsid w:val="002533F4"/>
    <w:rsid w:val="00271E4E"/>
    <w:rsid w:val="00273847"/>
    <w:rsid w:val="002871F4"/>
    <w:rsid w:val="00287457"/>
    <w:rsid w:val="002B36EC"/>
    <w:rsid w:val="002C22A6"/>
    <w:rsid w:val="002C734F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12BB"/>
    <w:rsid w:val="003C254E"/>
    <w:rsid w:val="003E434A"/>
    <w:rsid w:val="0042030E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1EE9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3961"/>
    <w:rsid w:val="00715292"/>
    <w:rsid w:val="007469D5"/>
    <w:rsid w:val="0075560B"/>
    <w:rsid w:val="00756C63"/>
    <w:rsid w:val="00761387"/>
    <w:rsid w:val="00774749"/>
    <w:rsid w:val="00777827"/>
    <w:rsid w:val="007861D2"/>
    <w:rsid w:val="007B4035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5119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507C"/>
    <w:rsid w:val="00BC0A8A"/>
    <w:rsid w:val="00C277AC"/>
    <w:rsid w:val="00C41F32"/>
    <w:rsid w:val="00C4272D"/>
    <w:rsid w:val="00C44388"/>
    <w:rsid w:val="00C53433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1A1"/>
    <w:rsid w:val="00E707CA"/>
    <w:rsid w:val="00E944DC"/>
    <w:rsid w:val="00E97654"/>
    <w:rsid w:val="00EA2EA2"/>
    <w:rsid w:val="00EB1A5C"/>
    <w:rsid w:val="00EB6AAC"/>
    <w:rsid w:val="00EC3C4C"/>
    <w:rsid w:val="00ED41DC"/>
    <w:rsid w:val="00EF78EA"/>
    <w:rsid w:val="00F000A1"/>
    <w:rsid w:val="00F01F3E"/>
    <w:rsid w:val="00F05246"/>
    <w:rsid w:val="00F058E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20E6578"/>
    <w:rsid w:val="02761945"/>
    <w:rsid w:val="02ED47A9"/>
    <w:rsid w:val="05676FE9"/>
    <w:rsid w:val="06250F58"/>
    <w:rsid w:val="074D4FEF"/>
    <w:rsid w:val="0A35407C"/>
    <w:rsid w:val="0A755CD1"/>
    <w:rsid w:val="0B6C2B91"/>
    <w:rsid w:val="0D075AA7"/>
    <w:rsid w:val="0D1F1617"/>
    <w:rsid w:val="0D207186"/>
    <w:rsid w:val="0E291DDF"/>
    <w:rsid w:val="0E73002A"/>
    <w:rsid w:val="101C5EE2"/>
    <w:rsid w:val="11B844E6"/>
    <w:rsid w:val="14AC26C6"/>
    <w:rsid w:val="1752258F"/>
    <w:rsid w:val="17A074B3"/>
    <w:rsid w:val="17AA5B63"/>
    <w:rsid w:val="1AA7144A"/>
    <w:rsid w:val="1B3869A9"/>
    <w:rsid w:val="1B4A415B"/>
    <w:rsid w:val="1B590390"/>
    <w:rsid w:val="1CB455D3"/>
    <w:rsid w:val="22FB35E3"/>
    <w:rsid w:val="27D41DE4"/>
    <w:rsid w:val="28072F22"/>
    <w:rsid w:val="28437916"/>
    <w:rsid w:val="28E22082"/>
    <w:rsid w:val="29B1237D"/>
    <w:rsid w:val="2C0E291C"/>
    <w:rsid w:val="2D6625FD"/>
    <w:rsid w:val="2DDC659A"/>
    <w:rsid w:val="2DF00FF1"/>
    <w:rsid w:val="3255145A"/>
    <w:rsid w:val="36AF37C9"/>
    <w:rsid w:val="36BA6444"/>
    <w:rsid w:val="390C04A2"/>
    <w:rsid w:val="3A903C29"/>
    <w:rsid w:val="3A9C1558"/>
    <w:rsid w:val="3DB464AD"/>
    <w:rsid w:val="3E3B796C"/>
    <w:rsid w:val="3FA44527"/>
    <w:rsid w:val="41756FF7"/>
    <w:rsid w:val="41FC51B7"/>
    <w:rsid w:val="46280EAC"/>
    <w:rsid w:val="46EB00EA"/>
    <w:rsid w:val="48160602"/>
    <w:rsid w:val="48724F72"/>
    <w:rsid w:val="48E52CF5"/>
    <w:rsid w:val="49F47B40"/>
    <w:rsid w:val="4A4A5DD1"/>
    <w:rsid w:val="4AC05175"/>
    <w:rsid w:val="4AC30D12"/>
    <w:rsid w:val="4D680A97"/>
    <w:rsid w:val="4DED56EF"/>
    <w:rsid w:val="51855D60"/>
    <w:rsid w:val="51EF6DCF"/>
    <w:rsid w:val="53726DDE"/>
    <w:rsid w:val="585A00D9"/>
    <w:rsid w:val="58A20EF6"/>
    <w:rsid w:val="5E822A4A"/>
    <w:rsid w:val="5F570772"/>
    <w:rsid w:val="60D07D7A"/>
    <w:rsid w:val="61A450AA"/>
    <w:rsid w:val="62441FCA"/>
    <w:rsid w:val="62994860"/>
    <w:rsid w:val="64E906BA"/>
    <w:rsid w:val="665B6338"/>
    <w:rsid w:val="68503E36"/>
    <w:rsid w:val="6AD23EC1"/>
    <w:rsid w:val="6D3A0814"/>
    <w:rsid w:val="6DFB5F33"/>
    <w:rsid w:val="6E1D7B55"/>
    <w:rsid w:val="6F6B20CB"/>
    <w:rsid w:val="6F940BEF"/>
    <w:rsid w:val="7134780B"/>
    <w:rsid w:val="72AF7ACB"/>
    <w:rsid w:val="747D06DB"/>
    <w:rsid w:val="74FF5E0A"/>
    <w:rsid w:val="765E2D8D"/>
    <w:rsid w:val="782E6BE9"/>
    <w:rsid w:val="78A143AA"/>
    <w:rsid w:val="7945303A"/>
    <w:rsid w:val="7C326902"/>
    <w:rsid w:val="7D0E33CB"/>
    <w:rsid w:val="7E350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635</Words>
  <Characters>3621</Characters>
  <Lines>30</Lines>
  <Paragraphs>8</Paragraphs>
  <TotalTime>0</TotalTime>
  <ScaleCrop>false</ScaleCrop>
  <LinksUpToDate>false</LinksUpToDate>
  <CharactersWithSpaces>4248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2022-04-22T01:38:20Z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17A7C3F0687743208851B8C1EA1F2908</vt:lpwstr>
  </property>
</Properties>
</file>