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华文细黑" w:hAnsi="华文细黑" w:eastAsia="华文细黑" w:cs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涉及</w:t>
            </w:r>
          </w:p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受审核部门：质检部 主管领导：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王炜中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 xml:space="preserve">  陪同人员：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杨月芬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4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审核员：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王献华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 xml:space="preserve">  审核时间：202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2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年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4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月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21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日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1</w:t>
            </w: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6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:00-17:00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00" w:lineRule="exac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lang w:val="en-US" w:eastAsia="zh-CN"/>
              </w:rPr>
              <w:t>审核内容：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1.部门职责和权限；2.质检活动涉及的危险源及其控制措施的持续监视有效性；3.目标部门分解落实情况；4.质检活动涉及的职业健康安全运行情况；5.质检活动涉及的应急准备和响应情况</w:t>
            </w:r>
          </w:p>
          <w:p>
            <w:pPr>
              <w:spacing w:line="240" w:lineRule="exact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5.3、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6.1.2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6.2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8.1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QE:5.3</w:t>
            </w:r>
            <w:r>
              <w:rPr>
                <w:rFonts w:hint="eastAsia" w:ascii="华文细黑" w:hAnsi="华文细黑" w:eastAsia="华文细黑" w:cs="华文细黑"/>
              </w:rPr>
              <w:t xml:space="preserve"> 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eastAsia="zh-CN"/>
              </w:rPr>
              <w:t>质检部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按照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组织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领导要求，做好职能和岗位的具体确定，对从事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采购和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销售有关的管理、执行和验证人员规定其职责、权限及其相互关系，以实现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组织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管理方针和管理目标。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负责人：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王炜中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。在手册中确定了</w:t>
            </w:r>
            <w:r>
              <w:rPr>
                <w:rFonts w:hint="eastAsia" w:ascii="华文细黑" w:hAnsi="华文细黑" w:eastAsia="华文细黑" w:cs="华文细黑"/>
                <w:szCs w:val="21"/>
                <w:lang w:eastAsia="zh-CN"/>
              </w:rPr>
              <w:t>质检部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部门的的职能，人员职责、权限和相互关系。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询问</w:t>
            </w:r>
            <w:r>
              <w:rPr>
                <w:rFonts w:hint="eastAsia" w:ascii="华文细黑" w:hAnsi="华文细黑" w:eastAsia="华文细黑" w:cs="华文细黑"/>
                <w:szCs w:val="21"/>
                <w:lang w:eastAsia="zh-CN"/>
              </w:rPr>
              <w:t>质检部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人员，基本清楚本部门职责。</w:t>
            </w:r>
          </w:p>
          <w:p>
            <w:pPr>
              <w:spacing w:line="280" w:lineRule="exact"/>
              <w:ind w:firstLine="420"/>
              <w:rPr>
                <w:rFonts w:hint="eastAsia" w:ascii="华文细黑" w:hAnsi="华文细黑" w:eastAsia="华文细黑" w:cs="华文细黑"/>
                <w:b/>
                <w:color w:val="000000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现有上述管理人员配置满足要求。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160" w:type="dxa"/>
            <w:vAlign w:val="top"/>
          </w:tcPr>
          <w:p>
            <w:pPr>
              <w:rPr>
                <w:rFonts w:hint="default" w:ascii="华文细黑" w:hAnsi="华文细黑" w:eastAsia="华文细黑" w:cs="华文细黑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华文细黑" w:hAnsi="华文细黑" w:cs="华文细黑"/>
                <w:kern w:val="2"/>
                <w:sz w:val="21"/>
                <w:lang w:val="en-US" w:eastAsia="zh-CN" w:bidi="ar-SA"/>
              </w:rPr>
              <w:t>危险源辨识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华文细黑" w:hAnsi="华文细黑" w:eastAsia="华文细黑" w:cs="华文细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O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6.1.2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查看组织《职业健康安全危险源调查评价表》，销售部在办公区等场所，按照活动过程调查、识别和确定、评估了危险源，对危险源的现在、将来以及正常、异常、紧急状态进行评价，对应责任部门明确，有相应的保存期限、责任人和更新日期，基本满足危险源识别、确定和保持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销售部按照《危险源辨识和风险评价程序》4.2准则，利用LEC评价法，确定了风险等级，识别出重大危险源，抽查组织《重大危险源清单》，涉及销售部的内容如下：</w:t>
            </w:r>
          </w:p>
          <w:tbl>
            <w:tblPr>
              <w:tblStyle w:val="8"/>
              <w:tblW w:w="961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2"/>
              <w:gridCol w:w="1370"/>
              <w:gridCol w:w="3694"/>
              <w:gridCol w:w="1306"/>
              <w:gridCol w:w="1194"/>
              <w:gridCol w:w="827"/>
              <w:gridCol w:w="7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" w:hRule="atLeast"/>
                <w:jc w:val="center"/>
              </w:trPr>
              <w:tc>
                <w:tcPr>
                  <w:tcW w:w="43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序号</w:t>
                  </w:r>
                </w:p>
              </w:tc>
              <w:tc>
                <w:tcPr>
                  <w:tcW w:w="13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伤害及风险</w:t>
                  </w:r>
                </w:p>
              </w:tc>
              <w:tc>
                <w:tcPr>
                  <w:tcW w:w="36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危险源/危险因素</w:t>
                  </w:r>
                </w:p>
              </w:tc>
              <w:tc>
                <w:tcPr>
                  <w:tcW w:w="130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涉及区域</w:t>
                  </w:r>
                </w:p>
              </w:tc>
              <w:tc>
                <w:tcPr>
                  <w:tcW w:w="11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时态/状态</w:t>
                  </w:r>
                </w:p>
              </w:tc>
              <w:tc>
                <w:tcPr>
                  <w:tcW w:w="82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危险程度</w:t>
                  </w:r>
                </w:p>
              </w:tc>
              <w:tc>
                <w:tcPr>
                  <w:tcW w:w="79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控制要求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83" w:hRule="atLeast"/>
                <w:jc w:val="center"/>
              </w:trPr>
              <w:tc>
                <w:tcPr>
                  <w:tcW w:w="43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1</w:t>
                  </w:r>
                </w:p>
              </w:tc>
              <w:tc>
                <w:tcPr>
                  <w:tcW w:w="1370" w:type="dxa"/>
                  <w:noWrap w:val="0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火灾</w:t>
                  </w:r>
                </w:p>
              </w:tc>
              <w:tc>
                <w:tcPr>
                  <w:tcW w:w="3694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电线老化/短路、</w:t>
                  </w: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  <w:lang w:val="en-US" w:eastAsia="zh-CN"/>
                    </w:rPr>
                    <w:t>仓储明火、</w:t>
                  </w: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化学品/油品泄漏等</w:t>
                  </w:r>
                </w:p>
              </w:tc>
              <w:tc>
                <w:tcPr>
                  <w:tcW w:w="1306" w:type="dxa"/>
                  <w:noWrap w:val="0"/>
                  <w:vAlign w:val="center"/>
                </w:tcPr>
                <w:p>
                  <w:pPr>
                    <w:spacing w:line="0" w:lineRule="atLeast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办公区</w:t>
                  </w:r>
                </w:p>
              </w:tc>
              <w:tc>
                <w:tcPr>
                  <w:tcW w:w="11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将来/异常</w:t>
                  </w:r>
                </w:p>
              </w:tc>
              <w:tc>
                <w:tcPr>
                  <w:tcW w:w="82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显著危险</w:t>
                  </w:r>
                </w:p>
              </w:tc>
              <w:tc>
                <w:tcPr>
                  <w:tcW w:w="793" w:type="dxa"/>
                  <w:noWrap w:val="0"/>
                  <w:vAlign w:val="center"/>
                </w:tcPr>
                <w:p>
                  <w:pPr>
                    <w:ind w:right="-1617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①②③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770" w:hRule="atLeast"/>
                <w:jc w:val="center"/>
              </w:trPr>
              <w:tc>
                <w:tcPr>
                  <w:tcW w:w="43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2</w:t>
                  </w:r>
                </w:p>
              </w:tc>
              <w:tc>
                <w:tcPr>
                  <w:tcW w:w="1370" w:type="dxa"/>
                  <w:noWrap w:val="0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触电</w:t>
                  </w:r>
                </w:p>
              </w:tc>
              <w:tc>
                <w:tcPr>
                  <w:tcW w:w="3694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配电箱无防护，开关漏电，</w:t>
                  </w: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  <w:lang w:val="en-US" w:eastAsia="zh-CN"/>
                    </w:rPr>
                    <w:t>电气设备使用不当</w:t>
                  </w:r>
                </w:p>
              </w:tc>
              <w:tc>
                <w:tcPr>
                  <w:tcW w:w="1306" w:type="dxa"/>
                  <w:noWrap w:val="0"/>
                  <w:vAlign w:val="center"/>
                </w:tcPr>
                <w:p>
                  <w:pPr>
                    <w:spacing w:line="0" w:lineRule="atLeast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办公区</w:t>
                  </w:r>
                </w:p>
              </w:tc>
              <w:tc>
                <w:tcPr>
                  <w:tcW w:w="11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将来/异常</w:t>
                  </w:r>
                </w:p>
              </w:tc>
              <w:tc>
                <w:tcPr>
                  <w:tcW w:w="827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显著危险</w:t>
                  </w:r>
                </w:p>
              </w:tc>
              <w:tc>
                <w:tcPr>
                  <w:tcW w:w="793" w:type="dxa"/>
                  <w:noWrap w:val="0"/>
                  <w:vAlign w:val="center"/>
                </w:tcPr>
                <w:p>
                  <w:pPr>
                    <w:ind w:right="-1617"/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w w:val="100"/>
                      <w:sz w:val="21"/>
                      <w:szCs w:val="24"/>
                    </w:rPr>
                    <w:t>①②③</w:t>
                  </w:r>
                </w:p>
              </w:tc>
            </w:tr>
          </w:tbl>
          <w:p>
            <w:pPr>
              <w:ind w:right="-1617" w:firstLine="210" w:firstLineChars="100"/>
              <w:rPr>
                <w:rFonts w:hint="eastAsia" w:ascii="华文细黑" w:hAnsi="华文细黑" w:eastAsia="华文细黑" w:cs="华文细黑"/>
                <w:color w:val="auto"/>
                <w:w w:val="100"/>
                <w:sz w:val="21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w w:val="100"/>
                <w:sz w:val="21"/>
                <w:szCs w:val="24"/>
              </w:rPr>
              <w:t>注：①建立目标和管理方案</w:t>
            </w:r>
            <w:r>
              <w:rPr>
                <w:rFonts w:hint="eastAsia" w:ascii="华文细黑" w:hAnsi="华文细黑" w:eastAsia="华文细黑" w:cs="华文细黑"/>
                <w:color w:val="auto"/>
                <w:w w:val="100"/>
                <w:sz w:val="21"/>
                <w:szCs w:val="24"/>
                <w:lang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color w:val="auto"/>
                <w:w w:val="100"/>
                <w:sz w:val="21"/>
                <w:szCs w:val="24"/>
              </w:rPr>
              <w:t>②制订应急预案</w:t>
            </w:r>
            <w:r>
              <w:rPr>
                <w:rFonts w:hint="eastAsia" w:ascii="华文细黑" w:hAnsi="华文细黑" w:eastAsia="华文细黑" w:cs="华文细黑"/>
                <w:color w:val="auto"/>
                <w:w w:val="100"/>
                <w:sz w:val="21"/>
                <w:szCs w:val="24"/>
                <w:lang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color w:val="auto"/>
                <w:w w:val="100"/>
                <w:sz w:val="21"/>
                <w:szCs w:val="24"/>
              </w:rPr>
              <w:t>③常规运作控制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重大危险源识别、评价与实际吻合，运行控制和应急准备分别见O8.1和O8.2，控制措施基本能够满足控制要求。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目标</w:t>
            </w: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及其实现的策划</w:t>
            </w:r>
          </w:p>
        </w:tc>
        <w:tc>
          <w:tcPr>
            <w:tcW w:w="960" w:type="dxa"/>
          </w:tcPr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O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6.2</w:t>
            </w:r>
          </w:p>
        </w:tc>
        <w:tc>
          <w:tcPr>
            <w:tcW w:w="10004" w:type="dxa"/>
          </w:tcPr>
          <w:p>
            <w:pPr>
              <w:snapToGrid w:val="0"/>
              <w:ind w:firstLine="420" w:firstLineChars="200"/>
              <w:rPr>
                <w:rFonts w:hint="eastAsia" w:ascii="华文细黑" w:hAnsi="华文细黑" w:eastAsia="华文细黑" w:cs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Cs w:val="21"/>
                <w:lang w:val="en-US" w:eastAsia="zh-CN"/>
              </w:rPr>
              <w:t>查2021年度，质检部涉及的职业健康安全目标分解和监视情况如下：</w:t>
            </w:r>
            <w:r>
              <w:rPr>
                <w:rFonts w:hint="eastAsia" w:ascii="华文细黑" w:hAnsi="华文细黑" w:eastAsia="华文细黑" w:cs="华文细黑"/>
                <w:color w:val="auto"/>
                <w:szCs w:val="21"/>
              </w:rPr>
              <w:t xml:space="preserve">     </w:t>
            </w:r>
            <w:r>
              <w:rPr>
                <w:rFonts w:hint="eastAsia" w:ascii="华文细黑" w:hAnsi="华文细黑" w:eastAsia="华文细黑" w:cs="华文细黑"/>
                <w:color w:val="FF0000"/>
                <w:szCs w:val="21"/>
              </w:rPr>
              <w:t xml:space="preserve">                       </w:t>
            </w:r>
          </w:p>
          <w:p>
            <w:pPr>
              <w:snapToGrid w:val="0"/>
              <w:ind w:firstLine="420" w:firstLineChars="200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drawing>
                <wp:inline distT="0" distB="0" distL="114300" distR="114300">
                  <wp:extent cx="5290185" cy="1648460"/>
                  <wp:effectExtent l="0" t="0" r="5715" b="254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0185" cy="164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ind w:firstLine="420" w:firstLineChars="200"/>
              <w:rPr>
                <w:rFonts w:hint="eastAsia" w:ascii="华文细黑" w:hAnsi="华文细黑" w:eastAsia="华文细黑" w:cs="华文细黑"/>
                <w:color w:val="000000"/>
                <w:szCs w:val="21"/>
                <w:highlight w:val="yellow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涉及的职业健康安全目标分解基本合理，与组织的方针基本一致，统计方法合理，有监视记录，符合要求；与质检负责人王炜中访谈时了解到，该部门对目标的理解清晰，沟通有效。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44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运行控制策划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O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组织制定了XPK/CX33-2021《环境和职业健康安全运行控制程序》等过程控制准则，根据过程准则要求制定了安全生产规章制度共24项目，包括《职业健康管理制度》、《消防安全管理制度》、《劳动防护用品管理制度》、《安全投入保障制度》等。</w:t>
            </w:r>
          </w:p>
          <w:p>
            <w:pPr>
              <w:ind w:firstLine="420" w:firstLineChars="200"/>
              <w:jc w:val="left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根据文件要求，</w:t>
            </w:r>
            <w:r>
              <w:rPr>
                <w:rFonts w:hint="eastAsia" w:ascii="华文细黑" w:hAnsi="华文细黑" w:cs="华文细黑"/>
                <w:lang w:val="en-US" w:eastAsia="zh-CN"/>
              </w:rPr>
              <w:t>销售部在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运行</w:t>
            </w:r>
            <w:r>
              <w:rPr>
                <w:rFonts w:hint="eastAsia" w:ascii="华文细黑" w:hAnsi="华文细黑" w:cs="华文细黑"/>
                <w:lang w:val="en-US" w:eastAsia="zh-CN"/>
              </w:rPr>
              <w:t>策划与控制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管理</w:t>
            </w:r>
            <w:r>
              <w:rPr>
                <w:rFonts w:hint="eastAsia" w:ascii="华文细黑" w:hAnsi="华文细黑" w:cs="华文细黑"/>
                <w:lang w:val="en-US" w:eastAsia="zh-CN"/>
              </w:rPr>
              <w:t>方面基本同办公室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1.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潜在火灾管控：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组织工作场所均配有灭火器，由工业园区统一管理维护，均处于有效状态，且维护记录完整，符合要求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；</w:t>
            </w:r>
          </w:p>
          <w:p>
            <w:pPr>
              <w:bidi w:val="0"/>
              <w:ind w:firstLine="420"/>
              <w:rPr>
                <w:rFonts w:hint="eastAsia" w:ascii="华文细黑" w:hAnsi="华文细黑" w:cs="华文细黑"/>
                <w:lang w:val="en-US" w:eastAsia="zh-CN"/>
              </w:rPr>
            </w:pPr>
            <w:r>
              <w:rPr>
                <w:rFonts w:hint="eastAsia" w:ascii="华文细黑" w:hAnsi="华文细黑" w:cs="华文细黑"/>
                <w:lang w:val="en-US" w:eastAsia="zh-CN"/>
              </w:rPr>
              <w:t>2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.提供2022年1-3月的劳动防护用品发放记录：记录显示，组织提供的劳动防护用品包括手套、护目镜、电焊手套、耳塞等，基本满足防护物资需求</w:t>
            </w:r>
            <w:r>
              <w:rPr>
                <w:rFonts w:hint="eastAsia" w:ascii="华文细黑" w:hAnsi="华文细黑" w:cs="华文细黑"/>
                <w:lang w:val="en-US" w:eastAsia="zh-CN"/>
              </w:rPr>
              <w:t>；</w:t>
            </w:r>
          </w:p>
          <w:p>
            <w:pPr>
              <w:bidi w:val="0"/>
              <w:ind w:firstLine="420"/>
              <w:rPr>
                <w:rFonts w:hint="default" w:ascii="华文细黑" w:hAnsi="华文细黑" w:cs="华文细黑"/>
                <w:lang w:val="en-US" w:eastAsia="zh-CN"/>
              </w:rPr>
            </w:pPr>
            <w:r>
              <w:rPr>
                <w:rFonts w:hint="eastAsia" w:ascii="华文细黑" w:hAnsi="华文细黑" w:cs="华文细黑"/>
                <w:lang w:val="en-US" w:eastAsia="zh-CN"/>
              </w:rPr>
              <w:t>3.疫情管控：根据当地主管部门和办公室要求实行统一的防疫政策。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其它职业健康安全策划和管控记录见其他部</w:t>
            </w:r>
            <w:r>
              <w:rPr>
                <w:rFonts w:hint="eastAsia" w:ascii="华文细黑" w:hAnsi="华文细黑" w:cs="华文细黑"/>
                <w:lang w:val="en-US" w:eastAsia="zh-CN"/>
              </w:rPr>
              <w:t>门O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8.1。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160" w:type="dxa"/>
            <w:vAlign w:val="top"/>
          </w:tcPr>
          <w:p>
            <w:pPr>
              <w:spacing w:line="440" w:lineRule="exact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O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 xml:space="preserve">8.2 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制定了《应急准备和响应程序》和《生产安全事故应急预案》，识别紧急情况如下：1.火灾\爆炸；2.触电；3.自然灾害；4.其它；均规定了相应的应急响应措施，基本覆盖了重要环境因素的内容，符合控制要求，无修订记录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抽查2021年4月6日举行的消防演练记录，内容主要包括演练目的、演练记录、演习过程的图片等信息。记录显示，质检部人员参加了此次演练，基本满足应急准备要求。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截止审核期间，组织未发生事故。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pStyle w:val="6"/>
        <w:rPr>
          <w:rFonts w:hint="eastAsia" w:eastAsia="宋体"/>
          <w:lang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  <w:r>
        <w:rPr>
          <w:rFonts w:hint="eastAsia"/>
          <w:lang w:val="en-US" w:eastAsia="zh-CN"/>
        </w:rPr>
        <w:t>。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DjWOELCAQAAdwMAAA4AAAAAAAAAAQAgAAAAJwEAAGRycy9lMm9E&#10;b2MueG1sUEsFBgAAAAAGAAYAWQEAAFsFAAAAAA==&#10;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bookmarkStart w:id="0" w:name="_GoBack"/>
    <w:bookmarkEnd w:id="0"/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02D1B"/>
    <w:multiLevelType w:val="multilevel"/>
    <w:tmpl w:val="59F02D1B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860"/>
        </w:tabs>
        <w:ind w:left="860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1713F"/>
    <w:rsid w:val="0002173F"/>
    <w:rsid w:val="00022295"/>
    <w:rsid w:val="000541D9"/>
    <w:rsid w:val="00070F88"/>
    <w:rsid w:val="00081614"/>
    <w:rsid w:val="000B7091"/>
    <w:rsid w:val="000B7900"/>
    <w:rsid w:val="000D2102"/>
    <w:rsid w:val="001014E2"/>
    <w:rsid w:val="00171967"/>
    <w:rsid w:val="0020740E"/>
    <w:rsid w:val="0022716D"/>
    <w:rsid w:val="002679B4"/>
    <w:rsid w:val="0029355D"/>
    <w:rsid w:val="0029416E"/>
    <w:rsid w:val="002C68BB"/>
    <w:rsid w:val="00311B3F"/>
    <w:rsid w:val="00313387"/>
    <w:rsid w:val="00383F30"/>
    <w:rsid w:val="003870EE"/>
    <w:rsid w:val="003E742E"/>
    <w:rsid w:val="0045163F"/>
    <w:rsid w:val="0045550A"/>
    <w:rsid w:val="00477697"/>
    <w:rsid w:val="0049762A"/>
    <w:rsid w:val="004B16A6"/>
    <w:rsid w:val="004D1E37"/>
    <w:rsid w:val="0054259D"/>
    <w:rsid w:val="00547E8D"/>
    <w:rsid w:val="005637DF"/>
    <w:rsid w:val="0059346A"/>
    <w:rsid w:val="005A0BC8"/>
    <w:rsid w:val="005B6DAB"/>
    <w:rsid w:val="005C6A4E"/>
    <w:rsid w:val="005E3D29"/>
    <w:rsid w:val="006039D8"/>
    <w:rsid w:val="006C5E35"/>
    <w:rsid w:val="0072362F"/>
    <w:rsid w:val="00727526"/>
    <w:rsid w:val="00781AA2"/>
    <w:rsid w:val="0083250F"/>
    <w:rsid w:val="00876E1B"/>
    <w:rsid w:val="0088204A"/>
    <w:rsid w:val="00892B7D"/>
    <w:rsid w:val="008C4AB7"/>
    <w:rsid w:val="008E4FC1"/>
    <w:rsid w:val="008F1592"/>
    <w:rsid w:val="00905DCE"/>
    <w:rsid w:val="00954EA8"/>
    <w:rsid w:val="00961452"/>
    <w:rsid w:val="0098308F"/>
    <w:rsid w:val="00994D2D"/>
    <w:rsid w:val="009B6C76"/>
    <w:rsid w:val="009C3AF7"/>
    <w:rsid w:val="009E4C1F"/>
    <w:rsid w:val="009E5797"/>
    <w:rsid w:val="00A07938"/>
    <w:rsid w:val="00A33A07"/>
    <w:rsid w:val="00A561F1"/>
    <w:rsid w:val="00AA7FF6"/>
    <w:rsid w:val="00B57E67"/>
    <w:rsid w:val="00B65F3F"/>
    <w:rsid w:val="00B66844"/>
    <w:rsid w:val="00BB6546"/>
    <w:rsid w:val="00BC0306"/>
    <w:rsid w:val="00C00893"/>
    <w:rsid w:val="00C90558"/>
    <w:rsid w:val="00CE4298"/>
    <w:rsid w:val="00D27A6C"/>
    <w:rsid w:val="00DA362B"/>
    <w:rsid w:val="00DC71FF"/>
    <w:rsid w:val="00DD4B80"/>
    <w:rsid w:val="00DD7155"/>
    <w:rsid w:val="00DF3444"/>
    <w:rsid w:val="00DF6297"/>
    <w:rsid w:val="00E408E2"/>
    <w:rsid w:val="00EF3EBB"/>
    <w:rsid w:val="00F71405"/>
    <w:rsid w:val="03B17848"/>
    <w:rsid w:val="041C1DAC"/>
    <w:rsid w:val="07387900"/>
    <w:rsid w:val="09A511EF"/>
    <w:rsid w:val="0D940837"/>
    <w:rsid w:val="12F1357C"/>
    <w:rsid w:val="154A0A4D"/>
    <w:rsid w:val="15DE3C42"/>
    <w:rsid w:val="1ABA6EDD"/>
    <w:rsid w:val="1B144F79"/>
    <w:rsid w:val="1BA26FFB"/>
    <w:rsid w:val="1F262338"/>
    <w:rsid w:val="1F6E5C55"/>
    <w:rsid w:val="20887BCA"/>
    <w:rsid w:val="20C11EDA"/>
    <w:rsid w:val="22D364CA"/>
    <w:rsid w:val="25AC61BA"/>
    <w:rsid w:val="25C0337B"/>
    <w:rsid w:val="2D2118A2"/>
    <w:rsid w:val="2DED2EC7"/>
    <w:rsid w:val="2E2B188F"/>
    <w:rsid w:val="3051728B"/>
    <w:rsid w:val="30795651"/>
    <w:rsid w:val="377E62BF"/>
    <w:rsid w:val="3B2C1204"/>
    <w:rsid w:val="3BC64A44"/>
    <w:rsid w:val="3EEF6CC1"/>
    <w:rsid w:val="40505A08"/>
    <w:rsid w:val="40E15965"/>
    <w:rsid w:val="456A7123"/>
    <w:rsid w:val="45D71D2E"/>
    <w:rsid w:val="46083D33"/>
    <w:rsid w:val="49013548"/>
    <w:rsid w:val="49510012"/>
    <w:rsid w:val="497D1387"/>
    <w:rsid w:val="49FE5459"/>
    <w:rsid w:val="4A6A177C"/>
    <w:rsid w:val="4BD9402D"/>
    <w:rsid w:val="4D667DFB"/>
    <w:rsid w:val="573D19BE"/>
    <w:rsid w:val="58CF13AF"/>
    <w:rsid w:val="594F2F9A"/>
    <w:rsid w:val="5EE1310A"/>
    <w:rsid w:val="629A00C8"/>
    <w:rsid w:val="63400ABB"/>
    <w:rsid w:val="63631409"/>
    <w:rsid w:val="645A392E"/>
    <w:rsid w:val="665B578B"/>
    <w:rsid w:val="6BEA34A0"/>
    <w:rsid w:val="6DF20A14"/>
    <w:rsid w:val="7539704C"/>
    <w:rsid w:val="761A4913"/>
    <w:rsid w:val="7C5E3D42"/>
    <w:rsid w:val="7EBF0B3C"/>
    <w:rsid w:val="7F8863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="50" w:beforeLines="50" w:after="50" w:afterLines="50" w:line="240" w:lineRule="auto"/>
      <w:ind w:left="0" w:firstLine="0"/>
      <w:jc w:val="left"/>
      <w:outlineLvl w:val="1"/>
    </w:pPr>
    <w:rPr>
      <w:rFonts w:ascii="宋体" w:hAnsi="宋体" w:eastAsia="宋体" w:cs="Times New Roman"/>
      <w:b/>
      <w:bCs/>
      <w:sz w:val="28"/>
      <w:szCs w:val="32"/>
      <w:lang w:val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12" w:lineRule="auto"/>
    </w:pPr>
    <w:rPr>
      <w:rFonts w:ascii="Arial" w:hAnsi="Arial" w:eastAsia="楷体_GB2312"/>
      <w:spacing w:val="20"/>
      <w:sz w:val="24"/>
      <w:szCs w:val="20"/>
    </w:rPr>
  </w:style>
  <w:style w:type="paragraph" w:styleId="4">
    <w:name w:val="Plain Text"/>
    <w:basedOn w:val="1"/>
    <w:link w:val="17"/>
    <w:qFormat/>
    <w:uiPriority w:val="0"/>
    <w:rPr>
      <w:rFonts w:ascii="宋体" w:hAnsi="Courier New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纯文本 字符"/>
    <w:basedOn w:val="9"/>
    <w:link w:val="4"/>
    <w:qFormat/>
    <w:uiPriority w:val="0"/>
    <w:rPr>
      <w:rFonts w:ascii="宋体" w:hAnsi="Courier New" w:eastAsia="宋体" w:cs="Times New Roman"/>
      <w:kern w:val="2"/>
      <w:sz w:val="21"/>
    </w:rPr>
  </w:style>
  <w:style w:type="paragraph" w:customStyle="1" w:styleId="18">
    <w:name w:val="二级条标题"/>
    <w:basedOn w:val="19"/>
    <w:next w:val="1"/>
    <w:qFormat/>
    <w:uiPriority w:val="0"/>
    <w:pPr>
      <w:tabs>
        <w:tab w:val="left" w:pos="720"/>
      </w:tabs>
      <w:ind w:left="0" w:firstLine="0"/>
      <w:outlineLvl w:val="3"/>
    </w:pPr>
    <w:rPr>
      <w:rFonts w:hint="default"/>
    </w:rPr>
  </w:style>
  <w:style w:type="paragraph" w:customStyle="1" w:styleId="19">
    <w:name w:val="一级条标题"/>
    <w:basedOn w:val="1"/>
    <w:next w:val="1"/>
    <w:qFormat/>
    <w:uiPriority w:val="0"/>
    <w:pPr>
      <w:widowControl/>
      <w:tabs>
        <w:tab w:val="left" w:pos="720"/>
      </w:tabs>
      <w:ind w:left="720" w:hanging="720"/>
      <w:outlineLvl w:val="2"/>
    </w:pPr>
    <w:rPr>
      <w:rFonts w:hint="eastAsia" w:ascii="黑体" w:eastAsia="黑体"/>
      <w:kern w:val="0"/>
    </w:rPr>
  </w:style>
  <w:style w:type="paragraph" w:customStyle="1" w:styleId="20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1038</Words>
  <Characters>5917</Characters>
  <Lines>49</Lines>
  <Paragraphs>13</Paragraphs>
  <TotalTime>0</TotalTime>
  <ScaleCrop>false</ScaleCrop>
  <LinksUpToDate>false</LinksUpToDate>
  <CharactersWithSpaces>6942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2020-06-20T05:48:00Z</dcterms:created>
  <dc:creator>微软用户</dc:creator>
  <cp:lastModifiedBy>wangxianhua</cp:lastModifiedBy>
  <dcterms:modified xsi:type="dcterms:W3CDTF">2022-04-22T01:38:33Z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EB26DCD28EED4926BC570137CF91EA20</vt:lpwstr>
  </property>
</Properties>
</file>