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成都通德药业有限公司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13.01.00;13.02.00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张安玲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13.01.00;13.02.00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固体制剂：原辅料→称量配料→制粒、干燥→整粒→总混→（压片、充填）→内包装→外包装→成品入库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粉针剂：原辅料→配液→洗瓶→灌装→冻干→轧盖→灯检→外包入库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原料药：原料→浸提→脱色→过滤浓缩→析晶→过滤→二次脱色→重结晶→干燥→粉碎→包装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制粒干燥处理</w:t>
            </w:r>
            <w:r>
              <w:rPr>
                <w:rFonts w:hint="eastAsia"/>
                <w:b/>
                <w:sz w:val="20"/>
              </w:rPr>
              <w:t>过程</w:t>
            </w:r>
            <w:r>
              <w:rPr>
                <w:rFonts w:hint="eastAsia"/>
                <w:b/>
                <w:sz w:val="20"/>
                <w:lang w:eastAsia="zh-CN"/>
              </w:rPr>
              <w:t>、冻干</w:t>
            </w:r>
            <w:r>
              <w:rPr>
                <w:rFonts w:hint="eastAsia"/>
                <w:b/>
                <w:sz w:val="20"/>
                <w:lang w:val="en-US" w:eastAsia="zh-CN"/>
              </w:rPr>
              <w:t>过程、过滤脱色过程，控制水分，时间，温度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国药典2015年版二部、国家食品药品监督管理总局药品标准YBH00662017、国家药品标准WS1-XG-011-2015、国家药品标准WS1-(YH-002)-2010-2017、国家食品药品监督管理局国家药品标准WS-10001-（HD-0841）-2002、国家食品药品监督管理局国家药品标准(试行）WS-10001-（HD-0214）-2002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检验外观、性状、含量等，需要型式检验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pStyle w:val="2"/>
        <w:rPr>
          <w:rFonts w:hint="eastAsia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1"/>
                <w:szCs w:val="21"/>
              </w:rPr>
              <w:t>成都通德药业有限公司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13.01.00;13.02.00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  <w:lang w:val="de-DE"/>
              </w:rPr>
              <w:t>张安玲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13.01.00;13.02.00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固体制剂：原辅料→称量配料→制粒、干燥→整粒→总混→（压片、充填）→内包装→外包装→成品入库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粉针剂：原辅料→配液→洗瓶→灌装→冻干→轧盖→灯检→外包入库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原料药：原料→浸提→脱色→过滤浓缩→析晶→过滤→二次脱色→重结晶→干燥→粉碎→包装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1）火灾；2）固废（含危废）；3）废水排放；4）废气排放；5）噪声；6）粉尘的排放</w:t>
            </w:r>
            <w:r>
              <w:rPr>
                <w:rFonts w:hint="eastAsia"/>
                <w:b/>
                <w:sz w:val="20"/>
                <w:lang w:eastAsia="zh-CN"/>
              </w:rPr>
              <w:t>；</w:t>
            </w:r>
            <w:r>
              <w:rPr>
                <w:rFonts w:hint="eastAsia"/>
                <w:b/>
                <w:sz w:val="20"/>
                <w:lang w:val="en-US" w:eastAsia="zh-CN"/>
              </w:rPr>
              <w:t>7）有毒有害化学品泄漏</w:t>
            </w:r>
            <w:r>
              <w:rPr>
                <w:rFonts w:hint="eastAsia"/>
                <w:b/>
                <w:sz w:val="20"/>
              </w:rPr>
              <w:t>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操作规程、培训、预案方案控制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中华人民共和国环境保护法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中华人民共和国循环经济促进法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中华人民共和国固体废物污染环境防治法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中华人民共和国大气污染防治法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bookmarkStart w:id="2" w:name="_GoBack"/>
            <w:bookmarkEnd w:id="2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2022.5.30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F410C8A"/>
    <w:rsid w:val="29C61C9B"/>
    <w:rsid w:val="62C76732"/>
    <w:rsid w:val="77E30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855</Words>
  <Characters>1044</Characters>
  <Lines>2</Lines>
  <Paragraphs>1</Paragraphs>
  <TotalTime>0</TotalTime>
  <ScaleCrop>false</ScaleCrop>
  <LinksUpToDate>false</LinksUpToDate>
  <CharactersWithSpaces>1047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2022-06-24T04:06:55Z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2052-11.1.0.11830</vt:lpwstr>
  </property>
</Properties>
</file>