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重庆宇宝保温工程有限公司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水泥基保温材料、砂浆、膨胀聚苯板的生产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120015</wp:posOffset>
                  </wp:positionV>
                  <wp:extent cx="480695" cy="314960"/>
                  <wp:effectExtent l="0" t="0" r="1905" b="2540"/>
                  <wp:wrapNone/>
                  <wp:docPr id="8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干粉砂浆生产工艺流程：原料配料混合—搅拌—成品包装—成品堆码。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关键过程：原料配料混合过程。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水泥发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</w:rPr>
              <w:t>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板的工艺流程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配料——搅拌——发泡浇筑——脱模——自然养护——切割——复合——养护——包装入库。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膨胀聚苯板工艺流程：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原料发泡—存化—打板—烘干—切割—打码、入库。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打板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sz w:val="21"/>
                <w:szCs w:val="21"/>
              </w:rPr>
              <w:t>、切割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过程控制：按工艺作业指导书进行控制，控制参数有养护时间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DBJ50/T-185-2019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增强型改性发泡水泥保温板建筑保温系统应用技术标准、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GB/T25181-2019《预拌砂浆》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DBJ50T-160-2013 难燃型膨胀聚苯板建筑外保温系统应用技术规程和合同协议等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砂浆、增强型改性发泡水泥保温板和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膨胀聚苯板（难燃型）有型式试验要求：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</w:t>
            </w:r>
            <w:r>
              <w:rPr>
                <w:rFonts w:hint="eastAsia"/>
                <w:sz w:val="21"/>
                <w:szCs w:val="21"/>
              </w:rPr>
              <w:t>检验项目有：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可操作日间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/>
                <w:sz w:val="21"/>
                <w:szCs w:val="21"/>
              </w:rPr>
              <w:t>强度、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耐水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增强型改性发泡水泥保温板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检验项目有：外观、尺寸、强度、密实度等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膨胀聚苯板（难燃型）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检验项目有：耐候性、吸水量、抗冲击性、抹面层不透水性等。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121920</wp:posOffset>
                  </wp:positionV>
                  <wp:extent cx="866140" cy="542290"/>
                  <wp:effectExtent l="0" t="0" r="10160" b="317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135890</wp:posOffset>
                  </wp:positionV>
                  <wp:extent cx="795655" cy="497840"/>
                  <wp:effectExtent l="0" t="0" r="4445" b="10795"/>
                  <wp:wrapNone/>
                  <wp:docPr id="3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重庆宇宝保温工程有限公司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水泥基保温材料、砂浆、膨胀聚苯板的生产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81280</wp:posOffset>
                  </wp:positionV>
                  <wp:extent cx="480695" cy="314960"/>
                  <wp:effectExtent l="0" t="0" r="1905" b="2540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干粉砂浆生产工艺流程：原料配料混合—搅拌—成品包装—成品堆码。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关键过程：原料配料混合过程。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水泥发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</w:rPr>
              <w:t>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板的工艺流程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配料——搅拌——发泡浇筑——脱模——自然养护——切割——复合——养护——包装入库。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膨胀聚苯板工艺流程：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原料发泡—存化—打板—烘干—切割—打码、入库。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打板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重要环境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潜在火灾、固废的排放、废水排放、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排放、噪声排放。按控制方案和预案进行控制。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锅炉大气污染物综合排放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标准》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GB13271-2014；《水泥工业大气污染物排放标准》DB50/656-2016;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大气污染物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综合排放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标准》（GB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16297-1996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；《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工业企业厂界环境噪声排放标准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（GB12348-2008）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中3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标准；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中华人民共和国安全消防法等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2021年1月30日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对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生活污水、有组织废气、无组织废气、噪声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进行了检测，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检测报告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编号：CQVZT2020YS079。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135255</wp:posOffset>
                  </wp:positionV>
                  <wp:extent cx="866140" cy="542290"/>
                  <wp:effectExtent l="0" t="0" r="10160" b="3175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83185</wp:posOffset>
                  </wp:positionV>
                  <wp:extent cx="795655" cy="497840"/>
                  <wp:effectExtent l="0" t="0" r="4445" b="10795"/>
                  <wp:wrapNone/>
                  <wp:docPr id="5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重庆宇宝保温工程有限公司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14.02.01;16.02.01;16.02.04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水泥基保温材料、砂浆、膨胀聚苯板的生产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干粉砂浆生产工艺流程：原料配料混合—搅拌—成品包装—成品堆码。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关键过程：原料配料混合过程。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水泥发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</w:rPr>
              <w:t>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板的工艺流程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配料——搅拌——发泡浇筑——脱模——自然养护——切割——复合——养护——包装入库。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护，也是特殊过程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膨胀聚苯板工艺流程：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原料发泡—存化—打板—烘干—切割—打码、入库。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打板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原料发泡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，也是特殊过程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潜在火灾、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爆炸、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机械伤害、职业病（粉尘、噪声）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按控制方案和预案进行控制。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、劳动防护用品管理规定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highlight w:val="none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2021年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月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26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日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进行了职业病危害因素检测，检测报告编号：渝泉融职检字（2021）第080号。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142875</wp:posOffset>
                  </wp:positionV>
                  <wp:extent cx="866140" cy="542290"/>
                  <wp:effectExtent l="0" t="0" r="10160" b="3175"/>
                  <wp:wrapNone/>
                  <wp:docPr id="6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76200</wp:posOffset>
                  </wp:positionV>
                  <wp:extent cx="795655" cy="497840"/>
                  <wp:effectExtent l="0" t="0" r="4445" b="10795"/>
                  <wp:wrapNone/>
                  <wp:docPr id="7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4F1E7F"/>
    <w:rsid w:val="12144B1A"/>
    <w:rsid w:val="1DB5260C"/>
    <w:rsid w:val="2054402E"/>
    <w:rsid w:val="3BCB0097"/>
    <w:rsid w:val="48526847"/>
    <w:rsid w:val="68B570C8"/>
    <w:rsid w:val="6E0D6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2022-04-20T08:01:27Z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