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4"/>
        <w:gridCol w:w="1309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四川欣祥科技有限公司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O：12.05.04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O：12.05.04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生产计划单——配料——混合搅拌——检测——储罐储存——交付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配料为关键过程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无特殊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过程。</w:t>
            </w:r>
            <w:r>
              <w:rPr>
                <w:rFonts w:hint="eastAsia" w:ascii="宋体" w:hAnsi="宋体" w:cs="Arial"/>
                <w:sz w:val="21"/>
                <w:szCs w:val="21"/>
              </w:rPr>
              <w:t>配料、混合搅拌控制配方、投放顺序及搅拌时间。存在风险：配方控制不当造成批量质量不合格。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大气排放标准GB16297-1996、四川省标准化监督管理条例2006/3/1、四川省计量监督管理条例2019/9/26、四川省《中华人民共和国环境影响评价法》实施办法2019/9/26、四川省饮用水水源保护管理条例2012/1/1、四川省固体废物污染环境防治条例2018/7/26、四川省环境保护条例2018/1/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中华人民共和国产品质量法、GB 8076-2008《混凝土外加剂规范》、合同协议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有型式试验要求，检验项目：减水率、固体含量、泌水率、凝结时间、抗压强度等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247650</wp:posOffset>
                  </wp:positionV>
                  <wp:extent cx="722630" cy="330200"/>
                  <wp:effectExtent l="0" t="0" r="1270" b="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217170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4"/>
        <w:gridCol w:w="1309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四川欣祥科技有限公司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O：12.05.04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O：12.05.04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生产计划单——配料——混合搅拌——检测——储罐储存——交付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重要环境因素：1）固废排放；2）火灾的发生；3）噪声的</w:t>
            </w:r>
            <w:bookmarkStart w:id="3" w:name="_GoBack"/>
            <w:bookmarkEnd w:id="3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排放;4)化学品泄漏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控制措施：环境管控方案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大气排放标准GB16297-1996、四川省标准化监督管理条例2006/3/1、四川省计量监督管理条例2019/9/26、四川省《中华人民共和国环境影响评价法》实施办法2019/9/26、四川省饮用水水源保护管理条例2012/1/1、四川省固体废物污染环境防治条例2018/7/26、四川省环境保护条例2018/1/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中华人民共和国产品质量法、GB 8076-2008《混凝土外加剂规范》、合同协议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 w:cs="Times New Roman"/>
                <w:b/>
                <w:sz w:val="2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247650</wp:posOffset>
                  </wp:positionV>
                  <wp:extent cx="722630" cy="330200"/>
                  <wp:effectExtent l="0" t="0" r="1270" b="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217170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4"/>
        <w:gridCol w:w="1309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四川欣祥科技有限公司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O：12.05.04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O：12.05.04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生产计划单——配料——混合搅拌——检测——储罐储存——交付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不可接受风险：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1)火灾；2）触电；3）机械伤害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大气排放标准GB16297-1996、四川省标准化监督管理条例2006/3/1、四川省计量监督管理条例2019/9/26、四川省《中华人民共和国环境影响评价法》实施办法2019/9/26、四川省饮用水水源保护管理条例2012/1/1、四川省固体废物污染环境防治条例2018/7/26、四川省环境保护条例2018/1/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中华人民共和国产品质量法、GB 8076-2008《混凝土外加剂规范》、合同协议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247650</wp:posOffset>
                  </wp:positionV>
                  <wp:extent cx="722630" cy="330200"/>
                  <wp:effectExtent l="0" t="0" r="1270" b="0"/>
                  <wp:wrapNone/>
                  <wp:docPr id="9" name="图片 9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217170</wp:posOffset>
                  </wp:positionV>
                  <wp:extent cx="812165" cy="275590"/>
                  <wp:effectExtent l="0" t="0" r="635" b="3810"/>
                  <wp:wrapNone/>
                  <wp:docPr id="10" name="图片 10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7836FC5"/>
    <w:rsid w:val="5B034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1"/>
    <w:qFormat/>
    <w:uiPriority w:val="0"/>
    <w:rPr>
      <w:sz w:val="15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472</Words>
  <Characters>542</Characters>
  <Lines>2</Lines>
  <Paragraphs>1</Paragraphs>
  <TotalTime>1</TotalTime>
  <ScaleCrop>false</ScaleCrop>
  <LinksUpToDate>false</LinksUpToDate>
  <CharactersWithSpaces>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2022-04-18T02:20:02Z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