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300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绵竹市佳伦包装印务有限公司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09.01.02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杨旸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09.01.02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原材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瓦楞制作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粘合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预热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烘干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纵切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横切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堆码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印刷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装订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----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生产过程的风险：操作不当造成产品缺陷等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控制措施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通过严格执行作业指导书、对操作人员培训等控制措施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特殊过程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粘合</w:t>
            </w:r>
            <w:r>
              <w:rPr>
                <w:rFonts w:hint="eastAsia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cs="Times New Roman"/>
                <w:b/>
                <w:sz w:val="20"/>
                <w:lang w:val="en-US" w:eastAsia="zh-CN"/>
              </w:rPr>
              <w:t>预热、烘干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控制措施：过程确认、作业指导书、对操作人员培训等控制措施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中华人民共和国合同法、中华人民共和国劳动法、中华人民共和国安全消防法、中华人民共和国产品质量法、中华人民共和国消费者权益法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GB/T6543-----2008标准等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产品通过过程检验，成品出厂检验等手段保证产品质量，依据：GB/T6543-----2008标准。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137160</wp:posOffset>
                  </wp:positionV>
                  <wp:extent cx="469900" cy="344805"/>
                  <wp:effectExtent l="0" t="0" r="0" b="10795"/>
                  <wp:wrapNone/>
                  <wp:docPr id="12" name="图片 2" descr="09475d67fa07517e3104073033d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09475d67fa07517e3104073033d74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9567" t="49010" r="10632" b="45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172720</wp:posOffset>
                  </wp:positionV>
                  <wp:extent cx="812165" cy="275590"/>
                  <wp:effectExtent l="0" t="0" r="635" b="3810"/>
                  <wp:wrapNone/>
                  <wp:docPr id="1" name="图片 1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2022.4.25</w:t>
            </w:r>
            <w:bookmarkStart w:id="3" w:name="_GoBack"/>
            <w:bookmarkEnd w:id="3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7E497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2</TotalTime>
  <ScaleCrop>false</ScaleCrop>
  <LinksUpToDate>false</LinksUpToDate>
  <CharactersWithSpaces>744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2022-04-25T03:00:59Z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