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14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8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1140"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004" w:type="dxa"/>
            <w:vAlign w:val="center"/>
          </w:tcPr>
          <w:p>
            <w:pPr>
              <w:spacing w:line="360" w:lineRule="auto"/>
              <w:rPr>
                <w:rFonts w:hint="default" w:eastAsia="宋体"/>
                <w:sz w:val="24"/>
                <w:szCs w:val="24"/>
                <w:lang w:val="en-US" w:eastAsia="zh-CN"/>
              </w:rPr>
            </w:pPr>
            <w:r>
              <w:rPr>
                <w:rFonts w:hint="eastAsia"/>
                <w:sz w:val="24"/>
                <w:szCs w:val="24"/>
              </w:rPr>
              <w:t>受审核部门：行政部         主管领导：</w:t>
            </w:r>
            <w:r>
              <w:rPr>
                <w:rFonts w:hint="eastAsia" w:ascii="宋体" w:hAnsi="宋体"/>
                <w:sz w:val="24"/>
              </w:rPr>
              <w:t>魏东</w:t>
            </w:r>
            <w:r>
              <w:rPr>
                <w:rFonts w:hint="eastAsia"/>
                <w:sz w:val="24"/>
                <w:szCs w:val="24"/>
              </w:rPr>
              <w:t>陪同人员：</w:t>
            </w:r>
            <w:r>
              <w:rPr>
                <w:rFonts w:hint="eastAsia"/>
                <w:sz w:val="24"/>
                <w:szCs w:val="24"/>
                <w:lang w:val="en-US" w:eastAsia="zh-CN"/>
              </w:rPr>
              <w:t>陈辉明</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80" w:type="dxa"/>
            <w:vMerge w:val="continue"/>
            <w:vAlign w:val="center"/>
          </w:tcPr>
          <w:p>
            <w:pPr>
              <w:spacing w:line="360" w:lineRule="auto"/>
            </w:pPr>
          </w:p>
        </w:tc>
        <w:tc>
          <w:tcPr>
            <w:tcW w:w="1140" w:type="dxa"/>
            <w:vMerge w:val="continue"/>
            <w:vAlign w:val="center"/>
          </w:tcPr>
          <w:p>
            <w:pPr>
              <w:spacing w:line="360" w:lineRule="auto"/>
            </w:pPr>
          </w:p>
        </w:tc>
        <w:tc>
          <w:tcPr>
            <w:tcW w:w="10004" w:type="dxa"/>
            <w:vAlign w:val="center"/>
          </w:tcPr>
          <w:p>
            <w:pPr>
              <w:spacing w:before="120" w:line="360" w:lineRule="auto"/>
              <w:rPr>
                <w:rFonts w:hint="default" w:eastAsia="宋体"/>
                <w:lang w:val="en-US" w:eastAsia="zh-CN"/>
              </w:rPr>
            </w:pPr>
            <w:r>
              <w:rPr>
                <w:rFonts w:hint="eastAsia"/>
                <w:sz w:val="24"/>
                <w:szCs w:val="24"/>
              </w:rPr>
              <w:t>审核员：</w:t>
            </w:r>
            <w:r>
              <w:rPr>
                <w:rFonts w:hint="eastAsia"/>
                <w:sz w:val="24"/>
                <w:szCs w:val="24"/>
                <w:lang w:val="en-US" w:eastAsia="zh-CN"/>
              </w:rPr>
              <w:t>伍光华、李双（Q实习）</w:t>
            </w:r>
            <w:r>
              <w:rPr>
                <w:rFonts w:hint="eastAsia"/>
                <w:sz w:val="24"/>
                <w:szCs w:val="24"/>
              </w:rPr>
              <w:t xml:space="preserve">             审核时间：202</w:t>
            </w:r>
            <w:r>
              <w:rPr>
                <w:rFonts w:hint="eastAsia"/>
                <w:sz w:val="24"/>
                <w:szCs w:val="24"/>
                <w:lang w:val="en-US" w:eastAsia="zh-CN"/>
              </w:rPr>
              <w:t>2.4.17</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0" w:type="dxa"/>
            <w:vMerge w:val="continue"/>
            <w:vAlign w:val="center"/>
          </w:tcPr>
          <w:p>
            <w:pPr>
              <w:spacing w:line="360" w:lineRule="auto"/>
            </w:pPr>
          </w:p>
        </w:tc>
        <w:tc>
          <w:tcPr>
            <w:tcW w:w="1140" w:type="dxa"/>
            <w:vMerge w:val="continue"/>
            <w:vAlign w:val="center"/>
          </w:tcPr>
          <w:p>
            <w:pPr>
              <w:spacing w:line="360" w:lineRule="auto"/>
            </w:pPr>
          </w:p>
        </w:tc>
        <w:tc>
          <w:tcPr>
            <w:tcW w:w="10004" w:type="dxa"/>
            <w:vAlign w:val="center"/>
          </w:tcPr>
          <w:p>
            <w:pPr>
              <w:spacing w:line="360" w:lineRule="auto"/>
              <w:rPr>
                <w:sz w:val="24"/>
                <w:szCs w:val="24"/>
              </w:rPr>
            </w:pPr>
            <w:r>
              <w:rPr>
                <w:rFonts w:hint="eastAsia"/>
                <w:sz w:val="24"/>
                <w:szCs w:val="24"/>
              </w:rPr>
              <w:t>审核条款：</w:t>
            </w:r>
          </w:p>
          <w:p>
            <w:pPr>
              <w:rPr>
                <w:rFonts w:ascii="宋体" w:hAnsi="宋体" w:cs="Arial"/>
                <w:spacing w:val="-6"/>
                <w:szCs w:val="21"/>
              </w:rPr>
            </w:pPr>
            <w:r>
              <w:rPr>
                <w:rFonts w:hint="eastAsia" w:ascii="宋体" w:hAnsi="宋体" w:cs="Arial"/>
                <w:spacing w:val="-6"/>
                <w:szCs w:val="21"/>
              </w:rPr>
              <w:t>QMS: 5.3组织的岗位、职责和权限、6.2质量目标、7.1.2人员、7.1.6组织知识、7.2能力、7.3意识、7.5.1形成文件的信息总则、7.5.2形成文件的信息的创建和更新、7.5.3形成文件的信息的控制、9.1.1监视、测量、分析和评价总则、9.1.3分析与评价、9.2 内部审核、10.2不合格和纠正措施，</w:t>
            </w:r>
          </w:p>
          <w:p>
            <w:pPr>
              <w:rPr>
                <w:sz w:val="24"/>
                <w:szCs w:val="24"/>
              </w:rPr>
            </w:pPr>
            <w:r>
              <w:rPr>
                <w:rFonts w:hint="eastAsia" w:ascii="宋体" w:hAnsi="宋体" w:cs="Arial"/>
                <w:spacing w:val="-6"/>
                <w:szCs w:val="21"/>
              </w:rPr>
              <w:t>EMS/OHSMS: 5.3组织的岗位、职责和权限、</w:t>
            </w:r>
            <w:r>
              <w:rPr>
                <w:rFonts w:hint="eastAsia" w:hAnsiTheme="minorEastAsia" w:eastAsiaTheme="minorEastAsia"/>
                <w:sz w:val="21"/>
                <w:szCs w:val="21"/>
              </w:rPr>
              <w:t>6.1.2环境因素/危险源的识别与评价、6.1.4措施的策划、6.1.3合规义务、9.1监视测分析和评价（9.1.1总则、9.1.2合规性评价）、8.1运行策划和控制</w:t>
            </w:r>
            <w:r>
              <w:rPr>
                <w:rFonts w:hint="eastAsia" w:hAnsiTheme="minorEastAsia" w:eastAsiaTheme="minorEastAsia"/>
                <w:sz w:val="24"/>
                <w:szCs w:val="24"/>
              </w:rPr>
              <w:t>；</w:t>
            </w:r>
            <w:r>
              <w:rPr>
                <w:rFonts w:eastAsiaTheme="minorEastAsia"/>
                <w:szCs w:val="21"/>
              </w:rPr>
              <w:t xml:space="preserve"> </w:t>
            </w:r>
            <w:r>
              <w:rPr>
                <w:rFonts w:hint="eastAsia" w:ascii="宋体" w:hAnsi="宋体" w:cs="Arial"/>
                <w:spacing w:val="-6"/>
                <w:szCs w:val="21"/>
              </w:rPr>
              <w:t>6.2环境/职业健康安全目标、方案、6.1.2环境因素/危险源的识别与评价、7.2能力、7.3意识、7.5.1形成文件的信息总则、7.5.2形成文件的信息的创建和更新、7.5.3形成文件的信息的控制、8.1运行策划和控制、8.2应急准备和响应、9.2 内部审核、10.2不符合/事件和纠正措施</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80" w:type="dxa"/>
          </w:tcPr>
          <w:p>
            <w:pPr>
              <w:spacing w:line="360" w:lineRule="auto"/>
            </w:pPr>
            <w:r>
              <w:rPr>
                <w:rFonts w:hint="eastAsia"/>
              </w:rPr>
              <w:t>岗位、职责和权限</w:t>
            </w:r>
          </w:p>
        </w:tc>
        <w:tc>
          <w:tcPr>
            <w:tcW w:w="1140" w:type="dxa"/>
          </w:tcPr>
          <w:p>
            <w:pPr>
              <w:spacing w:line="360" w:lineRule="auto"/>
              <w:jc w:val="center"/>
            </w:pPr>
            <w:r>
              <w:rPr>
                <w:rFonts w:hint="eastAsia" w:ascii="宋体" w:hAnsi="宋体" w:cs="Arial"/>
                <w:spacing w:val="-6"/>
                <w:szCs w:val="21"/>
              </w:rPr>
              <w:t>QEO:5.3</w:t>
            </w:r>
          </w:p>
        </w:tc>
        <w:tc>
          <w:tcPr>
            <w:tcW w:w="10004" w:type="dxa"/>
          </w:tcPr>
          <w:p>
            <w:pPr>
              <w:spacing w:line="360" w:lineRule="auto"/>
              <w:ind w:firstLine="420" w:firstLineChars="200"/>
            </w:pPr>
            <w:r>
              <w:rPr>
                <w:rFonts w:hint="eastAsia"/>
              </w:rPr>
              <w:t>行政部现有1人；</w:t>
            </w:r>
          </w:p>
          <w:p>
            <w:pPr>
              <w:spacing w:line="360" w:lineRule="auto"/>
              <w:ind w:firstLine="420" w:firstLineChars="200"/>
            </w:pPr>
            <w:r>
              <w:rPr>
                <w:rFonts w:hint="eastAsia"/>
              </w:rPr>
              <w:t>主要负责行政管理和人力资源管理；</w:t>
            </w:r>
          </w:p>
          <w:p>
            <w:pPr>
              <w:spacing w:line="360" w:lineRule="auto"/>
              <w:ind w:firstLine="420" w:firstLineChars="200"/>
            </w:pPr>
            <w:r>
              <w:rPr>
                <w:rFonts w:hint="eastAsia"/>
              </w:rPr>
              <w:t>部门环境因素、危险源的识别、评价及控制；</w:t>
            </w:r>
          </w:p>
          <w:p>
            <w:pPr>
              <w:spacing w:line="360" w:lineRule="auto"/>
              <w:ind w:firstLine="420" w:firstLineChars="200"/>
            </w:pPr>
            <w:r>
              <w:rPr>
                <w:rFonts w:hint="eastAsia"/>
              </w:rPr>
              <w:t>协助做好管理评审工作、组织开展内部审核。</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980" w:type="dxa"/>
          </w:tcPr>
          <w:p>
            <w:pPr>
              <w:spacing w:line="360" w:lineRule="auto"/>
            </w:pPr>
            <w:r>
              <w:rPr>
                <w:rFonts w:hint="eastAsia"/>
              </w:rPr>
              <w:t>目标</w:t>
            </w:r>
          </w:p>
        </w:tc>
        <w:tc>
          <w:tcPr>
            <w:tcW w:w="1140" w:type="dxa"/>
          </w:tcPr>
          <w:p>
            <w:pPr>
              <w:spacing w:line="360" w:lineRule="auto"/>
              <w:jc w:val="center"/>
            </w:pPr>
            <w:r>
              <w:rPr>
                <w:rFonts w:hint="eastAsia" w:ascii="宋体" w:hAnsi="宋体" w:cs="Arial"/>
                <w:spacing w:val="-6"/>
                <w:szCs w:val="21"/>
              </w:rPr>
              <w:t>QEO:6.2</w:t>
            </w:r>
          </w:p>
        </w:tc>
        <w:tc>
          <w:tcPr>
            <w:tcW w:w="10004" w:type="dxa"/>
          </w:tcPr>
          <w:p>
            <w:pPr>
              <w:spacing w:line="360" w:lineRule="auto"/>
              <w:ind w:firstLine="420" w:firstLineChars="200"/>
            </w:pPr>
            <w:r>
              <w:rPr>
                <w:rFonts w:hint="eastAsia"/>
              </w:rPr>
              <w:t>查见“质量\环境\职业健康安全目标分解考核表”，见行政部的目标：</w:t>
            </w:r>
          </w:p>
          <w:p>
            <w:pPr>
              <w:pStyle w:val="3"/>
              <w:spacing w:line="360" w:lineRule="auto"/>
              <w:ind w:firstLine="420"/>
            </w:pPr>
            <w:r>
              <w:t>a.文件使用有效率100%；</w:t>
            </w:r>
          </w:p>
          <w:p>
            <w:pPr>
              <w:pStyle w:val="3"/>
              <w:spacing w:line="360" w:lineRule="auto"/>
              <w:ind w:firstLine="420"/>
            </w:pPr>
            <w:r>
              <w:t>b.培训合格率100%；</w:t>
            </w:r>
          </w:p>
          <w:p>
            <w:pPr>
              <w:pStyle w:val="3"/>
              <w:spacing w:line="360" w:lineRule="auto"/>
              <w:ind w:firstLine="420"/>
            </w:pPr>
            <w:r>
              <w:t>c.火灾事故为0；</w:t>
            </w:r>
          </w:p>
          <w:p>
            <w:pPr>
              <w:pStyle w:val="3"/>
              <w:spacing w:line="360" w:lineRule="auto"/>
              <w:ind w:firstLine="420"/>
            </w:pPr>
            <w:r>
              <w:t>d.固体废弃物分类处置率100%</w:t>
            </w:r>
          </w:p>
          <w:p>
            <w:pPr>
              <w:spacing w:line="360" w:lineRule="auto"/>
              <w:ind w:firstLine="420" w:firstLineChars="200"/>
            </w:pPr>
            <w:r>
              <w:rPr>
                <w:rFonts w:hint="eastAsia"/>
              </w:rPr>
              <w:t>查见“目标与管理方案及实施情况一览表”，对指标、措施、时间要求、责任部门、责任人进行了明确；</w:t>
            </w:r>
          </w:p>
          <w:p>
            <w:pPr>
              <w:spacing w:line="360" w:lineRule="auto"/>
              <w:ind w:firstLine="420" w:firstLineChars="200"/>
            </w:pPr>
            <w:r>
              <w:rPr>
                <w:rFonts w:hint="eastAsia"/>
              </w:rPr>
              <w:t>202</w:t>
            </w:r>
            <w:r>
              <w:rPr>
                <w:rFonts w:hint="eastAsia"/>
                <w:lang w:val="en-US" w:eastAsia="zh-CN"/>
              </w:rPr>
              <w:t>2</w:t>
            </w:r>
            <w:r>
              <w:rPr>
                <w:rFonts w:hint="eastAsia"/>
              </w:rPr>
              <w:t>年</w:t>
            </w:r>
            <w:r>
              <w:rPr>
                <w:rFonts w:hint="eastAsia"/>
                <w:lang w:val="en-US" w:eastAsia="zh-CN"/>
              </w:rPr>
              <w:t>4</w:t>
            </w:r>
            <w:r>
              <w:rPr>
                <w:rFonts w:hint="eastAsia"/>
              </w:rPr>
              <w:t>月</w:t>
            </w:r>
            <w:r>
              <w:rPr>
                <w:rFonts w:hint="eastAsia"/>
                <w:lang w:val="en-US" w:eastAsia="zh-CN"/>
              </w:rPr>
              <w:t>1日</w:t>
            </w:r>
            <w:r>
              <w:rPr>
                <w:rFonts w:hint="eastAsia"/>
              </w:rPr>
              <w:t>考核目标均已全部完成；</w:t>
            </w:r>
          </w:p>
          <w:p>
            <w:pPr>
              <w:pStyle w:val="3"/>
              <w:spacing w:line="360" w:lineRule="auto"/>
              <w:ind w:firstLine="420"/>
            </w:pPr>
            <w:r>
              <w:rPr>
                <w:rFonts w:hint="eastAsia"/>
              </w:rPr>
              <w:t>基本符合。</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980" w:type="dxa"/>
            <w:vAlign w:val="top"/>
          </w:tcPr>
          <w:p>
            <w:pPr>
              <w:spacing w:line="360" w:lineRule="auto"/>
              <w:rPr>
                <w:rFonts w:hint="eastAsia"/>
                <w:sz w:val="21"/>
                <w:szCs w:val="21"/>
              </w:rPr>
            </w:pPr>
            <w:r>
              <w:rPr>
                <w:rFonts w:hAnsiTheme="minorEastAsia" w:eastAsiaTheme="minorEastAsia"/>
                <w:sz w:val="21"/>
                <w:szCs w:val="21"/>
              </w:rPr>
              <w:t>合规义务、法律法规和其他要求</w:t>
            </w:r>
          </w:p>
        </w:tc>
        <w:tc>
          <w:tcPr>
            <w:tcW w:w="1140" w:type="dxa"/>
            <w:vAlign w:val="center"/>
          </w:tcPr>
          <w:p>
            <w:pPr>
              <w:spacing w:line="360" w:lineRule="auto"/>
              <w:rPr>
                <w:rFonts w:eastAsiaTheme="minorEastAsia"/>
                <w:sz w:val="21"/>
                <w:szCs w:val="21"/>
              </w:rPr>
            </w:pPr>
            <w:r>
              <w:rPr>
                <w:rFonts w:eastAsiaTheme="minorEastAsia"/>
                <w:sz w:val="21"/>
                <w:szCs w:val="21"/>
              </w:rPr>
              <w:t>E6.1.3</w:t>
            </w:r>
          </w:p>
          <w:p>
            <w:pPr>
              <w:spacing w:line="360" w:lineRule="auto"/>
              <w:rPr>
                <w:rFonts w:hint="eastAsia" w:ascii="宋体" w:hAnsi="宋体" w:cs="Arial"/>
                <w:spacing w:val="-6"/>
                <w:sz w:val="21"/>
                <w:szCs w:val="21"/>
              </w:rPr>
            </w:pPr>
            <w:r>
              <w:rPr>
                <w:rFonts w:eastAsiaTheme="minorEastAsia"/>
                <w:sz w:val="21"/>
                <w:szCs w:val="21"/>
              </w:rPr>
              <w:t>O6.1.3</w:t>
            </w:r>
          </w:p>
        </w:tc>
        <w:tc>
          <w:tcPr>
            <w:tcW w:w="10004" w:type="dxa"/>
            <w:vAlign w:val="center"/>
          </w:tcPr>
          <w:p>
            <w:pPr>
              <w:snapToGrid w:val="0"/>
              <w:spacing w:line="360" w:lineRule="auto"/>
              <w:ind w:firstLine="420" w:firstLineChars="200"/>
              <w:rPr>
                <w:rFonts w:eastAsiaTheme="minorEastAsia"/>
                <w:sz w:val="21"/>
                <w:szCs w:val="21"/>
              </w:rPr>
            </w:pPr>
            <w:r>
              <w:rPr>
                <w:rFonts w:hAnsiTheme="minorEastAsia" w:eastAsiaTheme="minorEastAsia"/>
                <w:sz w:val="21"/>
                <w:szCs w:val="21"/>
              </w:rPr>
              <w:t>编制了《环境和职业健康安全法律法规控制程序》，对法律法规的识别更新和应用进行规定，行政部为主控部门。</w:t>
            </w:r>
          </w:p>
          <w:p>
            <w:pPr>
              <w:snapToGrid w:val="0"/>
              <w:spacing w:line="360" w:lineRule="auto"/>
              <w:ind w:firstLine="420" w:firstLineChars="200"/>
              <w:rPr>
                <w:rFonts w:eastAsiaTheme="minorEastAsia"/>
                <w:sz w:val="21"/>
                <w:szCs w:val="21"/>
              </w:rPr>
            </w:pPr>
            <w:r>
              <w:rPr>
                <w:rFonts w:hAnsiTheme="minorEastAsia" w:eastAsiaTheme="minorEastAsia"/>
                <w:sz w:val="21"/>
                <w:szCs w:val="21"/>
              </w:rPr>
              <w:t>部门人员介绍：主要通过网络、报纸杂志电视等新闻媒体、购买、上级下发等多种形式收集本公司适用的法律法规。提供了《环境法律法规及其他要求清单》、《职业健康安全法律法规及其他要求清单》，识别了企业相关环境和职业健康安全法律法规、标准和其他要求。如《中华人民共和国环境保护法》、《中华人民共和国安全生产法》、《中华人民共和国环境噪声污染防治法》、《中华人民共和国职业病防治法》、《中华人民共和国消防法》、《江西省环境污染防治条例》、《江西省安全生产条例》、《工伤保险条例》《中华人民共和国劳动合同法》《中华人民共和国突发事件应对法》《江西省生产安全事故报告和调查处理规定》《突发环境事件信息报告办法》等。</w:t>
            </w:r>
          </w:p>
          <w:p>
            <w:pPr>
              <w:snapToGrid w:val="0"/>
              <w:spacing w:line="360" w:lineRule="auto"/>
              <w:ind w:firstLine="420" w:firstLineChars="200"/>
              <w:rPr>
                <w:rFonts w:eastAsiaTheme="minorEastAsia"/>
                <w:sz w:val="21"/>
                <w:szCs w:val="21"/>
              </w:rPr>
            </w:pPr>
            <w:r>
              <w:rPr>
                <w:rFonts w:hAnsiTheme="minorEastAsia" w:eastAsiaTheme="minorEastAsia"/>
                <w:sz w:val="21"/>
                <w:szCs w:val="21"/>
              </w:rPr>
              <w:t>已识别法律法规及其它要求的适用条款，并与环境因素、危险源相对应。</w:t>
            </w:r>
          </w:p>
          <w:p>
            <w:pPr>
              <w:snapToGrid w:val="0"/>
              <w:spacing w:line="360" w:lineRule="auto"/>
              <w:ind w:firstLine="420" w:firstLineChars="200"/>
              <w:rPr>
                <w:rFonts w:hint="eastAsia"/>
                <w:sz w:val="21"/>
                <w:szCs w:val="21"/>
              </w:rPr>
            </w:pPr>
            <w:r>
              <w:rPr>
                <w:rFonts w:hAnsiTheme="minorEastAsia" w:eastAsiaTheme="minorEastAsia"/>
                <w:sz w:val="21"/>
                <w:szCs w:val="21"/>
              </w:rPr>
              <w:t>公司法律、法规及其它要求都有现行文本，大部分为电子版本。各部门如有需要到行政部查阅。公司通过培训、会议等方式向有关员工传达法律、法规及其它要求的相关要求。</w:t>
            </w:r>
          </w:p>
        </w:tc>
        <w:tc>
          <w:tcPr>
            <w:tcW w:w="1585" w:type="dxa"/>
            <w:vAlign w:val="top"/>
          </w:tcPr>
          <w:p>
            <w:pPr>
              <w:spacing w:line="36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tcPr>
          <w:p>
            <w:pPr>
              <w:spacing w:line="360" w:lineRule="auto"/>
            </w:pPr>
            <w:r>
              <w:rPr>
                <w:rFonts w:hint="eastAsia"/>
              </w:rPr>
              <w:t>环境因素/危险源的识别与评价</w:t>
            </w:r>
          </w:p>
          <w:p>
            <w:pPr>
              <w:spacing w:line="360" w:lineRule="auto"/>
            </w:pPr>
            <w:r>
              <w:rPr>
                <w:rFonts w:hint="eastAsia"/>
              </w:rPr>
              <w:t>措施的策划</w:t>
            </w:r>
          </w:p>
        </w:tc>
        <w:tc>
          <w:tcPr>
            <w:tcW w:w="1140" w:type="dxa"/>
          </w:tcPr>
          <w:p>
            <w:pPr>
              <w:spacing w:line="360" w:lineRule="auto"/>
              <w:jc w:val="center"/>
            </w:pPr>
            <w:r>
              <w:rPr>
                <w:rFonts w:hint="eastAsia"/>
              </w:rPr>
              <w:t>EO:6.1.2</w:t>
            </w:r>
          </w:p>
          <w:p>
            <w:pPr>
              <w:spacing w:line="360" w:lineRule="auto"/>
              <w:jc w:val="center"/>
            </w:pPr>
            <w:r>
              <w:rPr>
                <w:rFonts w:hint="eastAsia"/>
              </w:rPr>
              <w:t>6.1.4</w:t>
            </w:r>
          </w:p>
        </w:tc>
        <w:tc>
          <w:tcPr>
            <w:tcW w:w="10004" w:type="dxa"/>
          </w:tcPr>
          <w:p>
            <w:pPr>
              <w:snapToGrid w:val="0"/>
              <w:spacing w:line="360" w:lineRule="auto"/>
              <w:ind w:firstLine="420" w:firstLineChars="200"/>
              <w:rPr>
                <w:rFonts w:eastAsiaTheme="minorEastAsia"/>
                <w:bCs/>
                <w:sz w:val="21"/>
                <w:szCs w:val="21"/>
              </w:rPr>
            </w:pPr>
            <w:r>
              <w:rPr>
                <w:rFonts w:hAnsiTheme="minorEastAsia" w:eastAsiaTheme="minorEastAsia"/>
                <w:sz w:val="21"/>
                <w:szCs w:val="21"/>
              </w:rPr>
              <w:t>提供了环境因素和危险源识别评价与</w:t>
            </w:r>
            <w:r>
              <w:rPr>
                <w:rFonts w:hAnsiTheme="minorEastAsia" w:eastAsiaTheme="minorEastAsia"/>
                <w:bCs/>
                <w:sz w:val="21"/>
                <w:szCs w:val="21"/>
              </w:rPr>
              <w:t>控制程序，对环境因素、危险源的识别、评价结果、控制手段等做出了规定。</w:t>
            </w:r>
          </w:p>
          <w:p>
            <w:pPr>
              <w:spacing w:line="360" w:lineRule="auto"/>
              <w:ind w:firstLine="420" w:firstLineChars="200"/>
              <w:rPr>
                <w:rFonts w:eastAsiaTheme="minorEastAsia"/>
                <w:sz w:val="21"/>
                <w:szCs w:val="21"/>
              </w:rPr>
            </w:pPr>
            <w:r>
              <w:rPr>
                <w:rFonts w:hAnsiTheme="minorEastAsia" w:eastAsiaTheme="minorEastAsia"/>
                <w:bCs/>
                <w:sz w:val="21"/>
                <w:szCs w:val="21"/>
              </w:rPr>
              <w:t>行政部作为环境和职业健康安全管理体系的推进</w:t>
            </w:r>
            <w:r>
              <w:rPr>
                <w:rFonts w:hAnsiTheme="minorEastAsia" w:eastAsiaTheme="minorEastAsia"/>
                <w:sz w:val="21"/>
                <w:szCs w:val="21"/>
              </w:rPr>
              <w:t>部门，主要统筹负责识别评价相关的环境因素及危险源。根据办公区、生产过程、检验过程、采购过程、销售过程等环节识别，由行政部汇总。</w:t>
            </w:r>
          </w:p>
          <w:p>
            <w:pPr>
              <w:spacing w:line="360" w:lineRule="auto"/>
              <w:ind w:firstLine="420" w:firstLineChars="200"/>
              <w:rPr>
                <w:rFonts w:eastAsiaTheme="minorEastAsia"/>
                <w:sz w:val="21"/>
                <w:szCs w:val="21"/>
              </w:rPr>
            </w:pPr>
            <w:r>
              <w:rPr>
                <w:rFonts w:hAnsiTheme="minorEastAsia" w:eastAsiaTheme="minorEastAsia"/>
                <w:sz w:val="21"/>
                <w:szCs w:val="21"/>
              </w:rPr>
              <w:t>查</w:t>
            </w:r>
            <w:r>
              <w:rPr>
                <w:rFonts w:eastAsiaTheme="minorEastAsia"/>
                <w:sz w:val="21"/>
                <w:szCs w:val="21"/>
              </w:rPr>
              <w:t>“</w:t>
            </w:r>
            <w:r>
              <w:rPr>
                <w:rFonts w:hAnsiTheme="minorEastAsia" w:eastAsiaTheme="minorEastAsia"/>
                <w:sz w:val="21"/>
                <w:szCs w:val="21"/>
              </w:rPr>
              <w:t>环境因素辨识和评价登记表</w:t>
            </w:r>
            <w:r>
              <w:rPr>
                <w:rFonts w:eastAsiaTheme="minorEastAsia"/>
                <w:sz w:val="21"/>
                <w:szCs w:val="21"/>
              </w:rPr>
              <w:t>”</w:t>
            </w:r>
            <w:r>
              <w:rPr>
                <w:rFonts w:hAnsiTheme="minorEastAsia" w:eastAsiaTheme="minorEastAsia"/>
                <w:sz w:val="21"/>
                <w:szCs w:val="21"/>
              </w:rPr>
              <w:t>，识别考虑了正常、异常、紧急，过去、现在、未来三种时态。涉及行政部的环境因素有生活垃圾的处置不当污染环境、办公场所吸烟污染环境、复印机打印机废墨盒处置污染环境、火灾发生后废弃物污染大气、水土等。</w:t>
            </w:r>
          </w:p>
          <w:p>
            <w:pPr>
              <w:spacing w:line="360" w:lineRule="auto"/>
              <w:ind w:firstLine="420" w:firstLineChars="200"/>
              <w:rPr>
                <w:rFonts w:eastAsiaTheme="minorEastAsia"/>
                <w:sz w:val="21"/>
                <w:szCs w:val="21"/>
              </w:rPr>
            </w:pPr>
            <w:r>
              <w:rPr>
                <w:rFonts w:hAnsiTheme="minorEastAsia" w:eastAsiaTheme="minorEastAsia"/>
                <w:sz w:val="21"/>
                <w:szCs w:val="21"/>
              </w:rPr>
              <w:t>采取多因子评价法进行了评价，查到</w:t>
            </w:r>
            <w:r>
              <w:rPr>
                <w:rFonts w:eastAsiaTheme="minorEastAsia"/>
                <w:sz w:val="21"/>
                <w:szCs w:val="21"/>
              </w:rPr>
              <w:t>“</w:t>
            </w:r>
            <w:r>
              <w:rPr>
                <w:rFonts w:hAnsiTheme="minorEastAsia" w:eastAsiaTheme="minorEastAsia"/>
                <w:sz w:val="21"/>
                <w:szCs w:val="21"/>
              </w:rPr>
              <w:t>重要环境因素清单</w:t>
            </w:r>
            <w:r>
              <w:rPr>
                <w:rFonts w:eastAsiaTheme="minorEastAsia"/>
                <w:sz w:val="21"/>
                <w:szCs w:val="21"/>
              </w:rPr>
              <w:t>”</w:t>
            </w:r>
            <w:r>
              <w:rPr>
                <w:rFonts w:hAnsiTheme="minorEastAsia" w:eastAsiaTheme="minorEastAsia"/>
                <w:sz w:val="21"/>
                <w:szCs w:val="21"/>
              </w:rPr>
              <w:t>，评价出噪音排放、潜在火灾、固废排放、粉尘</w:t>
            </w:r>
            <w:r>
              <w:rPr>
                <w:rFonts w:hint="eastAsia" w:hAnsiTheme="minorEastAsia" w:eastAsiaTheme="minorEastAsia"/>
                <w:sz w:val="21"/>
                <w:szCs w:val="21"/>
              </w:rPr>
              <w:t>/废气</w:t>
            </w:r>
            <w:r>
              <w:rPr>
                <w:rFonts w:hAnsiTheme="minorEastAsia" w:eastAsiaTheme="minorEastAsia"/>
                <w:sz w:val="21"/>
                <w:szCs w:val="21"/>
              </w:rPr>
              <w:t>排放为重要环境因素。</w:t>
            </w:r>
          </w:p>
          <w:p>
            <w:pPr>
              <w:spacing w:line="360" w:lineRule="auto"/>
              <w:ind w:firstLine="420" w:firstLineChars="200"/>
              <w:rPr>
                <w:rFonts w:eastAsiaTheme="minorEastAsia"/>
                <w:sz w:val="21"/>
                <w:szCs w:val="21"/>
              </w:rPr>
            </w:pPr>
            <w:r>
              <w:rPr>
                <w:rFonts w:hAnsiTheme="minorEastAsia" w:eastAsiaTheme="minorEastAsia"/>
                <w:sz w:val="21"/>
                <w:szCs w:val="21"/>
              </w:rPr>
              <w:t>经评价行政部的重要环境因素为：日常办公过程中固废排放、潜在火灾的发生。</w:t>
            </w:r>
          </w:p>
          <w:p>
            <w:pPr>
              <w:spacing w:line="360" w:lineRule="auto"/>
              <w:ind w:firstLine="420" w:firstLineChars="200"/>
              <w:rPr>
                <w:rFonts w:eastAsiaTheme="minorEastAsia"/>
                <w:sz w:val="21"/>
                <w:szCs w:val="21"/>
              </w:rPr>
            </w:pPr>
            <w:r>
              <w:rPr>
                <w:rFonts w:hAnsiTheme="minorEastAsia" w:eastAsiaTheme="minorEastAsia"/>
                <w:sz w:val="21"/>
                <w:szCs w:val="21"/>
              </w:rPr>
              <w:t>查</w:t>
            </w:r>
            <w:r>
              <w:rPr>
                <w:rFonts w:eastAsiaTheme="minorEastAsia"/>
                <w:sz w:val="21"/>
                <w:szCs w:val="21"/>
              </w:rPr>
              <w:t>“</w:t>
            </w:r>
            <w:r>
              <w:rPr>
                <w:rFonts w:hAnsiTheme="minorEastAsia" w:eastAsiaTheme="minorEastAsia"/>
                <w:sz w:val="21"/>
                <w:szCs w:val="21"/>
              </w:rPr>
              <w:t>职业安全健康管理体系危险源辨识、风险评价、风险控制一览表</w:t>
            </w:r>
            <w:r>
              <w:rPr>
                <w:rFonts w:eastAsiaTheme="minorEastAsia"/>
                <w:sz w:val="21"/>
                <w:szCs w:val="21"/>
              </w:rPr>
              <w:t>”</w:t>
            </w:r>
            <w:r>
              <w:rPr>
                <w:rFonts w:hAnsiTheme="minorEastAsia" w:eastAsiaTheme="minorEastAsia"/>
                <w:sz w:val="21"/>
                <w:szCs w:val="21"/>
              </w:rPr>
              <w:t>，识别了办公、采购、生产、销售过程中的危险源。</w:t>
            </w:r>
          </w:p>
          <w:p>
            <w:pPr>
              <w:spacing w:line="360" w:lineRule="auto"/>
              <w:ind w:firstLine="420" w:firstLineChars="200"/>
              <w:rPr>
                <w:rFonts w:eastAsiaTheme="minorEastAsia"/>
                <w:sz w:val="21"/>
                <w:szCs w:val="21"/>
              </w:rPr>
            </w:pPr>
            <w:r>
              <w:rPr>
                <w:rFonts w:hAnsiTheme="minorEastAsia" w:eastAsiaTheme="minorEastAsia"/>
                <w:sz w:val="21"/>
                <w:szCs w:val="21"/>
              </w:rPr>
              <w:t>涉及行政部的危险源有复印机电磁波危害，电脑显示屏的辐射，插座质量差漏电造成的触电，烟头未及时熄灭或直接扔到纸篓中造成火灾，接线板负荷过重造成的火灾、</w:t>
            </w:r>
            <w:r>
              <w:rPr>
                <w:rFonts w:hint="eastAsia" w:hAnsiTheme="minorEastAsia" w:eastAsiaTheme="minorEastAsia"/>
                <w:sz w:val="21"/>
                <w:szCs w:val="21"/>
              </w:rPr>
              <w:t>疲劳或情绪不稳情况下驾驶</w:t>
            </w:r>
            <w:r>
              <w:rPr>
                <w:rFonts w:hAnsiTheme="minorEastAsia" w:eastAsiaTheme="minorEastAsia"/>
                <w:sz w:val="21"/>
                <w:szCs w:val="21"/>
              </w:rPr>
              <w:t>等。</w:t>
            </w:r>
          </w:p>
          <w:p>
            <w:pPr>
              <w:spacing w:line="360" w:lineRule="auto"/>
              <w:ind w:firstLine="420" w:firstLineChars="200"/>
              <w:rPr>
                <w:rFonts w:eastAsiaTheme="minorEastAsia"/>
                <w:sz w:val="21"/>
                <w:szCs w:val="21"/>
              </w:rPr>
            </w:pPr>
            <w:r>
              <w:rPr>
                <w:rFonts w:hAnsiTheme="minorEastAsia" w:eastAsiaTheme="minorEastAsia"/>
                <w:sz w:val="21"/>
                <w:szCs w:val="21"/>
              </w:rPr>
              <w:t>对识别出的危险源采取</w:t>
            </w:r>
            <w:r>
              <w:rPr>
                <w:rFonts w:eastAsiaTheme="minorEastAsia"/>
                <w:sz w:val="21"/>
                <w:szCs w:val="21"/>
              </w:rPr>
              <w:t>D=LEC</w:t>
            </w:r>
            <w:r>
              <w:rPr>
                <w:rFonts w:hAnsiTheme="minorEastAsia" w:eastAsiaTheme="minorEastAsia"/>
                <w:sz w:val="21"/>
                <w:szCs w:val="21"/>
              </w:rPr>
              <w:t>进行评价，查到</w:t>
            </w:r>
            <w:r>
              <w:rPr>
                <w:rFonts w:eastAsiaTheme="minorEastAsia"/>
                <w:sz w:val="21"/>
                <w:szCs w:val="21"/>
              </w:rPr>
              <w:t>“不可接受风险清单”</w:t>
            </w:r>
            <w:r>
              <w:rPr>
                <w:rFonts w:hAnsiTheme="minorEastAsia" w:eastAsiaTheme="minorEastAsia"/>
                <w:sz w:val="21"/>
                <w:szCs w:val="21"/>
              </w:rPr>
              <w:t>，评价出重大危险源包括：火灾、触电、机械伤害、粉尘伤害、噪音伤害等。</w:t>
            </w:r>
          </w:p>
          <w:p>
            <w:pPr>
              <w:spacing w:line="360" w:lineRule="auto"/>
              <w:ind w:firstLine="420" w:firstLineChars="200"/>
              <w:rPr>
                <w:rFonts w:eastAsiaTheme="minorEastAsia"/>
                <w:sz w:val="21"/>
                <w:szCs w:val="21"/>
              </w:rPr>
            </w:pPr>
            <w:r>
              <w:rPr>
                <w:rFonts w:hAnsiTheme="minorEastAsia" w:eastAsiaTheme="minorEastAsia"/>
                <w:sz w:val="21"/>
                <w:szCs w:val="21"/>
              </w:rPr>
              <w:t>经评价行政部的重大危险源：触电事故、火灾事故的发生。</w:t>
            </w:r>
          </w:p>
          <w:p>
            <w:pPr>
              <w:spacing w:line="360" w:lineRule="auto"/>
              <w:ind w:firstLine="420" w:firstLineChars="200"/>
              <w:rPr>
                <w:rFonts w:eastAsiaTheme="minorEastAsia"/>
                <w:sz w:val="21"/>
                <w:szCs w:val="21"/>
              </w:rPr>
            </w:pPr>
            <w:r>
              <w:rPr>
                <w:rFonts w:hAnsiTheme="minorEastAsia" w:eastAsiaTheme="minorEastAsia"/>
                <w:sz w:val="21"/>
                <w:szCs w:val="21"/>
              </w:rPr>
              <w:t>主要控制措施：办公危废交耗材供应公司，生活垃圾由物业部门拉走，</w:t>
            </w:r>
            <w:r>
              <w:rPr>
                <w:rFonts w:hint="eastAsia" w:hAnsiTheme="minorEastAsia" w:eastAsiaTheme="minorEastAsia"/>
                <w:sz w:val="21"/>
                <w:szCs w:val="21"/>
              </w:rPr>
              <w:t>危废委托有资质单位回收；选用低噪声设备，合理布局，隔声减震，厂房隔音；</w:t>
            </w:r>
            <w:r>
              <w:rPr>
                <w:rFonts w:hAnsiTheme="minorEastAsia" w:eastAsiaTheme="minorEastAsia"/>
                <w:sz w:val="21"/>
                <w:szCs w:val="21"/>
              </w:rPr>
              <w:t>配备消防器材；使用具有相关资质及考核合格的人员操作机器设备等。加强日常培训，</w:t>
            </w:r>
            <w:r>
              <w:rPr>
                <w:rFonts w:hint="eastAsia" w:hAnsiTheme="minorEastAsia" w:eastAsiaTheme="minorEastAsia"/>
                <w:sz w:val="21"/>
                <w:szCs w:val="21"/>
              </w:rPr>
              <w:t>提高安全意识，制定目标、指标，对环境安全运行情况进行</w:t>
            </w:r>
            <w:r>
              <w:rPr>
                <w:rFonts w:hAnsiTheme="minorEastAsia" w:eastAsiaTheme="minorEastAsia"/>
                <w:sz w:val="21"/>
                <w:szCs w:val="21"/>
              </w:rPr>
              <w:t>日常检查</w:t>
            </w:r>
            <w:r>
              <w:rPr>
                <w:rFonts w:hint="eastAsia" w:hAnsiTheme="minorEastAsia" w:eastAsiaTheme="minorEastAsia"/>
                <w:sz w:val="21"/>
                <w:szCs w:val="21"/>
              </w:rPr>
              <w:t>/不定期检查</w:t>
            </w:r>
            <w:r>
              <w:rPr>
                <w:rFonts w:hAnsiTheme="minorEastAsia" w:eastAsiaTheme="minorEastAsia"/>
                <w:sz w:val="21"/>
                <w:szCs w:val="21"/>
              </w:rPr>
              <w:t>，</w:t>
            </w:r>
            <w:r>
              <w:rPr>
                <w:rFonts w:hint="eastAsia" w:hAnsiTheme="minorEastAsia" w:eastAsiaTheme="minorEastAsia"/>
                <w:sz w:val="21"/>
                <w:szCs w:val="21"/>
              </w:rPr>
              <w:t>减少跑冒滴漏情况，做好火灾预防措施，一旦发生按相关应急预案执行。</w:t>
            </w:r>
          </w:p>
          <w:p>
            <w:pPr>
              <w:spacing w:line="360" w:lineRule="auto"/>
              <w:ind w:firstLine="420" w:firstLineChars="200"/>
              <w:rPr>
                <w:rFonts w:eastAsiaTheme="minorEastAsia"/>
                <w:sz w:val="21"/>
                <w:szCs w:val="21"/>
              </w:rPr>
            </w:pPr>
            <w:r>
              <w:rPr>
                <w:rFonts w:hAnsiTheme="minorEastAsia" w:eastAsiaTheme="minorEastAsia"/>
                <w:sz w:val="21"/>
                <w:szCs w:val="21"/>
              </w:rPr>
              <w:t>公司根据环境因素和危险源的风险辨识结果，分别制定出《重要环境因素清单》、《不可接受风险清单》，清单内明确了控制措施计划，通过具体的措施进行有效控制：目标、管理方案、管理制度运行控制、应急预案、日常检查、日常培训。</w:t>
            </w:r>
          </w:p>
          <w:p>
            <w:pPr>
              <w:spacing w:line="360" w:lineRule="auto"/>
              <w:ind w:firstLine="420" w:firstLineChars="200"/>
              <w:rPr>
                <w:rFonts w:eastAsiaTheme="minorEastAsia"/>
                <w:sz w:val="21"/>
                <w:szCs w:val="21"/>
              </w:rPr>
            </w:pPr>
            <w:r>
              <w:rPr>
                <w:rFonts w:hAnsiTheme="minorEastAsia" w:eastAsiaTheme="minorEastAsia"/>
                <w:sz w:val="21"/>
                <w:szCs w:val="21"/>
              </w:rPr>
              <w:t>每年对公司适用的合规义务进行识别更新并定期评价、检查。</w:t>
            </w:r>
          </w:p>
          <w:p>
            <w:pPr>
              <w:spacing w:line="360" w:lineRule="auto"/>
              <w:ind w:firstLine="420" w:firstLineChars="200"/>
            </w:pPr>
            <w:r>
              <w:rPr>
                <w:rFonts w:hAnsiTheme="minorEastAsia" w:eastAsiaTheme="minorEastAsia"/>
                <w:sz w:val="21"/>
                <w:szCs w:val="21"/>
              </w:rPr>
              <w:t>经组织评价，组织策划的措施基本能够满足风险和机遇应对需要，能够与识别的风险和机遇对产品符合性的潜在影响相适应，基本满足标准要求。</w:t>
            </w:r>
          </w:p>
        </w:tc>
        <w:tc>
          <w:tcPr>
            <w:tcW w:w="1585" w:type="dxa"/>
          </w:tcPr>
          <w:p>
            <w:pPr>
              <w:spacing w:line="360" w:lineRule="auto"/>
              <w:rPr>
                <w:color w:val="0000FF"/>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80" w:type="dxa"/>
          </w:tcPr>
          <w:p>
            <w:pPr>
              <w:spacing w:line="360" w:lineRule="auto"/>
            </w:pPr>
            <w:r>
              <w:rPr>
                <w:rFonts w:hint="eastAsia"/>
              </w:rPr>
              <w:t>人员</w:t>
            </w:r>
          </w:p>
          <w:p>
            <w:pPr>
              <w:spacing w:line="360" w:lineRule="auto"/>
            </w:pPr>
            <w:r>
              <w:rPr>
                <w:rFonts w:hint="eastAsia"/>
              </w:rPr>
              <w:t>能力</w:t>
            </w:r>
          </w:p>
          <w:p>
            <w:pPr>
              <w:spacing w:line="360" w:lineRule="auto"/>
            </w:pPr>
            <w:r>
              <w:rPr>
                <w:rFonts w:hint="eastAsia"/>
              </w:rPr>
              <w:t>意识</w:t>
            </w:r>
          </w:p>
        </w:tc>
        <w:tc>
          <w:tcPr>
            <w:tcW w:w="1140" w:type="dxa"/>
          </w:tcPr>
          <w:p>
            <w:pPr>
              <w:spacing w:line="360" w:lineRule="auto"/>
              <w:jc w:val="center"/>
              <w:rPr>
                <w:rFonts w:ascii="宋体" w:hAnsi="宋体" w:cs="Arial"/>
                <w:spacing w:val="-6"/>
                <w:szCs w:val="21"/>
              </w:rPr>
            </w:pPr>
            <w:r>
              <w:rPr>
                <w:rFonts w:hint="eastAsia" w:ascii="宋体" w:hAnsi="宋体" w:cs="Arial"/>
                <w:spacing w:val="-6"/>
                <w:szCs w:val="21"/>
              </w:rPr>
              <w:t>Q:7.1.2</w:t>
            </w:r>
          </w:p>
          <w:p>
            <w:pPr>
              <w:spacing w:line="360" w:lineRule="auto"/>
              <w:jc w:val="center"/>
              <w:rPr>
                <w:rFonts w:ascii="宋体" w:hAnsi="宋体" w:cs="Arial"/>
                <w:spacing w:val="-6"/>
                <w:szCs w:val="21"/>
              </w:rPr>
            </w:pPr>
            <w:r>
              <w:rPr>
                <w:rFonts w:hint="eastAsia" w:ascii="宋体" w:hAnsi="宋体" w:cs="Arial"/>
                <w:spacing w:val="-6"/>
                <w:szCs w:val="21"/>
              </w:rPr>
              <w:t>QEO:7.2</w:t>
            </w:r>
          </w:p>
          <w:p>
            <w:pPr>
              <w:spacing w:line="360" w:lineRule="auto"/>
              <w:jc w:val="center"/>
              <w:rPr>
                <w:rFonts w:ascii="宋体" w:hAnsi="宋体" w:cs="Arial"/>
                <w:spacing w:val="-6"/>
                <w:szCs w:val="21"/>
              </w:rPr>
            </w:pPr>
            <w:r>
              <w:rPr>
                <w:rFonts w:hint="eastAsia" w:ascii="宋体" w:hAnsi="宋体" w:cs="Arial"/>
                <w:spacing w:val="-6"/>
                <w:szCs w:val="21"/>
              </w:rPr>
              <w:t>7.3</w:t>
            </w:r>
          </w:p>
        </w:tc>
        <w:tc>
          <w:tcPr>
            <w:tcW w:w="10004" w:type="dxa"/>
          </w:tcPr>
          <w:p>
            <w:pPr>
              <w:spacing w:line="360" w:lineRule="auto"/>
              <w:ind w:firstLine="420" w:firstLineChars="200"/>
            </w:pPr>
            <w:r>
              <w:rPr>
                <w:rFonts w:hint="eastAsia"/>
              </w:rPr>
              <w:t>建立有《人力资源控制程序》；</w:t>
            </w:r>
          </w:p>
          <w:p>
            <w:pPr>
              <w:spacing w:line="360" w:lineRule="auto"/>
              <w:ind w:firstLine="420" w:firstLineChars="200"/>
            </w:pPr>
            <w:r>
              <w:rPr>
                <w:rFonts w:hint="eastAsia"/>
              </w:rPr>
              <w:t>公司现有人员</w:t>
            </w:r>
            <w:r>
              <w:rPr>
                <w:rFonts w:hint="eastAsia" w:ascii="宋体"/>
                <w:b/>
              </w:rPr>
              <w:t>44</w:t>
            </w:r>
            <w:r>
              <w:rPr>
                <w:rFonts w:hint="eastAsia"/>
              </w:rPr>
              <w:t>人，管理人员、技术人员和操作员工等能够有效实施管理体系，并运行和控制其过程。</w:t>
            </w:r>
          </w:p>
          <w:p>
            <w:pPr>
              <w:pStyle w:val="3"/>
              <w:spacing w:line="360" w:lineRule="auto"/>
              <w:ind w:firstLine="420"/>
            </w:pPr>
            <w:r>
              <w:rPr>
                <w:rFonts w:hint="eastAsia"/>
              </w:rPr>
              <w:t>保持“岗位说明书”，对各岗位的任职要求和能力要求进行了规定；职责中都包含了安全管理的要求；</w:t>
            </w:r>
          </w:p>
          <w:p>
            <w:pPr>
              <w:spacing w:line="360" w:lineRule="auto"/>
              <w:ind w:firstLine="420" w:firstLineChars="200"/>
            </w:pPr>
            <w:r>
              <w:rPr>
                <w:rFonts w:hint="eastAsia"/>
              </w:rPr>
              <w:t>查见“培训计划”，计划202</w:t>
            </w:r>
            <w:r>
              <w:rPr>
                <w:rFonts w:hint="eastAsia"/>
                <w:lang w:val="en-US" w:eastAsia="zh-CN"/>
              </w:rPr>
              <w:t>2</w:t>
            </w:r>
            <w:r>
              <w:rPr>
                <w:rFonts w:hint="eastAsia"/>
              </w:rPr>
              <w:t>年开展管理手册、程序文件、管理目标及方案、安全生产知识培训、岗位技能培训等14项次；</w:t>
            </w:r>
          </w:p>
          <w:p>
            <w:pPr>
              <w:spacing w:line="360" w:lineRule="auto"/>
              <w:ind w:firstLine="420" w:firstLineChars="200"/>
            </w:pPr>
            <w:r>
              <w:rPr>
                <w:rFonts w:hint="eastAsia"/>
              </w:rPr>
              <w:t>查</w:t>
            </w:r>
            <w:r>
              <w:rPr>
                <w:rFonts w:hint="eastAsia" w:ascii="宋体" w:hAnsi="宋体" w:cs="Arial"/>
                <w:spacing w:val="-6"/>
                <w:szCs w:val="21"/>
              </w:rPr>
              <w:t>“培训记录及培训效果评价表”，</w:t>
            </w:r>
            <w:r>
              <w:rPr>
                <w:rFonts w:hint="eastAsia"/>
              </w:rPr>
              <w:t>抽见：</w:t>
            </w:r>
          </w:p>
          <w:p>
            <w:pPr>
              <w:spacing w:line="360" w:lineRule="auto"/>
              <w:ind w:firstLine="420" w:firstLineChars="200"/>
              <w:rPr>
                <w:rFonts w:hint="eastAsia" w:ascii="宋体" w:hAnsi="宋体" w:eastAsia="宋体"/>
                <w:szCs w:val="21"/>
                <w:lang w:eastAsia="zh-CN"/>
              </w:rPr>
            </w:pPr>
            <w:r>
              <w:rPr>
                <w:rFonts w:hint="eastAsia" w:ascii="宋体" w:hAnsi="宋体"/>
                <w:szCs w:val="21"/>
              </w:rPr>
              <w:t>管理手册、程序文件——202</w:t>
            </w:r>
            <w:r>
              <w:rPr>
                <w:rFonts w:hint="eastAsia" w:ascii="宋体" w:hAnsi="宋体"/>
                <w:szCs w:val="21"/>
                <w:lang w:val="en-US" w:eastAsia="zh-CN"/>
              </w:rPr>
              <w:t>2</w:t>
            </w:r>
            <w:r>
              <w:rPr>
                <w:rFonts w:hint="eastAsia" w:ascii="宋体" w:hAnsi="宋体"/>
                <w:szCs w:val="21"/>
              </w:rPr>
              <w:t>.</w:t>
            </w:r>
            <w:r>
              <w:rPr>
                <w:rFonts w:hint="eastAsia" w:ascii="宋体" w:hAnsi="宋体"/>
                <w:szCs w:val="21"/>
                <w:lang w:val="en-US" w:eastAsia="zh-CN"/>
              </w:rPr>
              <w:t>2</w:t>
            </w:r>
            <w:r>
              <w:rPr>
                <w:rFonts w:hint="eastAsia" w:ascii="宋体" w:hAnsi="宋体"/>
                <w:szCs w:val="21"/>
              </w:rPr>
              <w:t>.2</w:t>
            </w:r>
            <w:r>
              <w:rPr>
                <w:rFonts w:hint="eastAsia" w:ascii="宋体" w:hAnsi="宋体"/>
                <w:szCs w:val="21"/>
                <w:lang w:val="en-US" w:eastAsia="zh-CN"/>
              </w:rPr>
              <w:t>3</w:t>
            </w:r>
          </w:p>
          <w:p>
            <w:pPr>
              <w:spacing w:line="360" w:lineRule="auto"/>
              <w:ind w:firstLine="420" w:firstLineChars="200"/>
              <w:rPr>
                <w:rFonts w:hint="eastAsia" w:ascii="宋体" w:hAnsi="宋体" w:eastAsia="宋体"/>
                <w:szCs w:val="21"/>
                <w:lang w:eastAsia="zh-CN"/>
              </w:rPr>
            </w:pPr>
            <w:r>
              <w:rPr>
                <w:rFonts w:hint="eastAsia" w:ascii="宋体" w:hAnsi="宋体"/>
                <w:szCs w:val="21"/>
              </w:rPr>
              <w:t>环境法律法规的培训——2021.4.1</w:t>
            </w:r>
            <w:r>
              <w:rPr>
                <w:rFonts w:hint="eastAsia" w:ascii="宋体" w:hAnsi="宋体"/>
                <w:szCs w:val="21"/>
                <w:lang w:val="en-US" w:eastAsia="zh-CN"/>
              </w:rPr>
              <w:t>5</w:t>
            </w:r>
          </w:p>
          <w:p>
            <w:pPr>
              <w:spacing w:line="360" w:lineRule="auto"/>
              <w:ind w:firstLine="420" w:firstLineChars="200"/>
              <w:rPr>
                <w:rFonts w:hint="eastAsia" w:ascii="宋体" w:hAnsi="宋体" w:eastAsia="宋体"/>
                <w:szCs w:val="21"/>
                <w:lang w:eastAsia="zh-CN"/>
              </w:rPr>
            </w:pPr>
            <w:r>
              <w:rPr>
                <w:rFonts w:hint="eastAsia" w:ascii="宋体" w:hAnsi="宋体"/>
                <w:szCs w:val="21"/>
              </w:rPr>
              <w:t>环境、安全管理目标及方案——202</w:t>
            </w:r>
            <w:r>
              <w:rPr>
                <w:rFonts w:hint="eastAsia" w:ascii="宋体" w:hAnsi="宋体"/>
                <w:szCs w:val="21"/>
                <w:lang w:val="en-US" w:eastAsia="zh-CN"/>
              </w:rPr>
              <w:t>2</w:t>
            </w:r>
            <w:r>
              <w:rPr>
                <w:rFonts w:hint="eastAsia" w:ascii="宋体" w:hAnsi="宋体"/>
                <w:szCs w:val="21"/>
              </w:rPr>
              <w:t>.6.1</w:t>
            </w:r>
            <w:r>
              <w:rPr>
                <w:rFonts w:hint="eastAsia" w:ascii="宋体" w:hAnsi="宋体"/>
                <w:szCs w:val="21"/>
                <w:lang w:val="en-US" w:eastAsia="zh-CN"/>
              </w:rPr>
              <w:t>2</w:t>
            </w:r>
          </w:p>
          <w:p>
            <w:pPr>
              <w:spacing w:line="360" w:lineRule="auto"/>
              <w:ind w:firstLine="420" w:firstLineChars="200"/>
            </w:pPr>
            <w:r>
              <w:rPr>
                <w:rFonts w:hint="eastAsia"/>
              </w:rPr>
              <w:t>考核及评价记录显示以口头问答的方式对培训效果进行了评价，培训达到预期的目的。</w:t>
            </w:r>
          </w:p>
          <w:p>
            <w:pPr>
              <w:spacing w:line="360" w:lineRule="auto"/>
              <w:ind w:firstLine="420" w:firstLineChars="200"/>
              <w:rPr>
                <w:rFonts w:ascii="宋体" w:hAnsi="宋体"/>
                <w:szCs w:val="21"/>
              </w:rPr>
            </w:pPr>
            <w:r>
              <w:rPr>
                <w:rFonts w:hint="eastAsia" w:ascii="宋体" w:hAnsi="宋体"/>
                <w:szCs w:val="21"/>
              </w:rPr>
              <w:t>查见人员证书：</w:t>
            </w:r>
          </w:p>
          <w:p>
            <w:pPr>
              <w:spacing w:line="360" w:lineRule="auto"/>
              <w:ind w:firstLine="420" w:firstLineChars="200"/>
              <w:rPr>
                <w:rFonts w:ascii="宋体" w:hAnsi="宋体"/>
                <w:szCs w:val="21"/>
              </w:rPr>
            </w:pPr>
            <w:r>
              <w:rPr>
                <w:rFonts w:hint="eastAsia" w:ascii="宋体" w:hAnsi="宋体"/>
                <w:szCs w:val="21"/>
              </w:rPr>
              <w:t>张良——主要负责人，安全培训证书；2023.9.10有效；</w:t>
            </w:r>
          </w:p>
          <w:p>
            <w:pPr>
              <w:spacing w:line="360" w:lineRule="auto"/>
              <w:ind w:firstLine="420" w:firstLineChars="200"/>
              <w:rPr>
                <w:rFonts w:ascii="宋体" w:hAnsi="宋体"/>
                <w:szCs w:val="21"/>
              </w:rPr>
            </w:pPr>
            <w:r>
              <w:rPr>
                <w:rFonts w:hint="eastAsia" w:ascii="宋体" w:hAnsi="宋体"/>
                <w:szCs w:val="21"/>
              </w:rPr>
              <w:t>万承芳——安全管理员，安全培训证书；2023.9.10有效；</w:t>
            </w:r>
          </w:p>
          <w:p>
            <w:pPr>
              <w:spacing w:line="360" w:lineRule="auto"/>
              <w:ind w:firstLine="420" w:firstLineChars="200"/>
              <w:rPr>
                <w:rFonts w:ascii="宋体" w:hAnsi="宋体"/>
                <w:szCs w:val="21"/>
              </w:rPr>
            </w:pPr>
            <w:r>
              <w:rPr>
                <w:rFonts w:hint="eastAsia" w:ascii="宋体" w:hAnsi="宋体"/>
                <w:szCs w:val="21"/>
              </w:rPr>
              <w:t>陈松林——安全管理员，安全培训证书；2023.9.10有效；</w:t>
            </w:r>
          </w:p>
          <w:p>
            <w:pPr>
              <w:spacing w:line="360" w:lineRule="auto"/>
              <w:ind w:firstLine="420" w:firstLineChars="200"/>
              <w:rPr>
                <w:rFonts w:ascii="宋体" w:hAnsi="宋体"/>
                <w:szCs w:val="21"/>
              </w:rPr>
            </w:pPr>
            <w:r>
              <w:rPr>
                <w:rFonts w:hint="eastAsia" w:ascii="宋体" w:hAnsi="宋体"/>
                <w:szCs w:val="21"/>
              </w:rPr>
              <w:t>陈辉明——职业卫生培训合格证，樟树市卫生健康委员会发，有效；</w:t>
            </w:r>
          </w:p>
          <w:p>
            <w:pPr>
              <w:spacing w:line="360" w:lineRule="auto"/>
              <w:ind w:firstLine="420" w:firstLineChars="200"/>
              <w:rPr>
                <w:rFonts w:ascii="宋体" w:hAnsi="宋体"/>
                <w:szCs w:val="21"/>
              </w:rPr>
            </w:pPr>
            <w:r>
              <w:rPr>
                <w:rFonts w:hint="eastAsia" w:ascii="宋体" w:hAnsi="宋体"/>
                <w:szCs w:val="21"/>
              </w:rPr>
              <w:t>杨XX——Q4证书，2021.7.03，宜春市质量技术监督局发，有效；</w:t>
            </w:r>
          </w:p>
          <w:p>
            <w:pPr>
              <w:spacing w:line="360" w:lineRule="auto"/>
              <w:ind w:firstLine="420" w:firstLineChars="200"/>
              <w:rPr>
                <w:rFonts w:ascii="宋体" w:hAnsi="宋体"/>
                <w:szCs w:val="21"/>
              </w:rPr>
            </w:pPr>
            <w:r>
              <w:rPr>
                <w:rFonts w:hint="eastAsia" w:ascii="宋体" w:hAnsi="宋体"/>
                <w:szCs w:val="21"/>
              </w:rPr>
              <w:t>A5证书，2021.7.03，宜春市质量技术监督局发，有效；</w:t>
            </w:r>
          </w:p>
          <w:p>
            <w:pPr>
              <w:spacing w:line="360" w:lineRule="auto"/>
              <w:ind w:firstLine="420" w:firstLineChars="200"/>
              <w:rPr>
                <w:rFonts w:ascii="宋体" w:hAnsi="宋体"/>
                <w:szCs w:val="21"/>
              </w:rPr>
            </w:pPr>
            <w:r>
              <w:rPr>
                <w:rFonts w:hint="eastAsia" w:ascii="宋体" w:hAnsi="宋体"/>
                <w:szCs w:val="21"/>
              </w:rPr>
              <w:t>丁XX——低压电工作业，2026.12.15，丰城市应急管理局发，有效；</w:t>
            </w:r>
          </w:p>
          <w:p>
            <w:pPr>
              <w:spacing w:line="360" w:lineRule="auto"/>
              <w:ind w:firstLine="420" w:firstLineChars="200"/>
              <w:rPr>
                <w:rFonts w:ascii="宋体" w:hAnsi="宋体"/>
                <w:szCs w:val="21"/>
              </w:rPr>
            </w:pPr>
            <w:r>
              <w:rPr>
                <w:rFonts w:hint="eastAsia" w:ascii="宋体" w:hAnsi="宋体"/>
                <w:szCs w:val="21"/>
              </w:rPr>
              <w:t>邹XX——焊工，江西省宜春市职业技能鉴定中心出具，有效。</w:t>
            </w:r>
          </w:p>
          <w:p>
            <w:pPr>
              <w:spacing w:line="360" w:lineRule="auto"/>
              <w:ind w:firstLine="420" w:firstLineChars="200"/>
            </w:pPr>
            <w:r>
              <w:rPr>
                <w:rFonts w:hint="eastAsia"/>
              </w:rPr>
              <w:t>意识：</w:t>
            </w:r>
          </w:p>
          <w:p>
            <w:pPr>
              <w:spacing w:line="360" w:lineRule="auto"/>
              <w:ind w:firstLine="420" w:firstLineChars="200"/>
            </w:pPr>
            <w:r>
              <w:t>经与部门负责人沟通交流，</w:t>
            </w:r>
            <w:r>
              <w:rPr>
                <w:rFonts w:hint="eastAsia"/>
              </w:rPr>
              <w:t>主要</w:t>
            </w:r>
            <w:r>
              <w:t>通过培训提高岗位作业水平和环保、安全意识，</w:t>
            </w:r>
            <w:r>
              <w:rPr>
                <w:rFonts w:hint="eastAsia"/>
              </w:rPr>
              <w:t>询问</w:t>
            </w:r>
            <w:r>
              <w:t>部分员工，他们对公司的管理方针</w:t>
            </w:r>
            <w:r>
              <w:rPr>
                <w:rFonts w:hint="eastAsia"/>
              </w:rPr>
              <w:t>、</w:t>
            </w:r>
            <w:r>
              <w:t>管理目标、对环境</w:t>
            </w:r>
            <w:r>
              <w:rPr>
                <w:rFonts w:hint="eastAsia"/>
              </w:rPr>
              <w:t>、</w:t>
            </w:r>
            <w:r>
              <w:t>职业健康安全管理体系有效性的贡献，包括提高效率、技能、改进工艺和恪尽职守带来的节能减排、保护员工健康等的益处，以及因自己岗位职责疏忽带来不符合给公司环境安全承诺带来的后果。</w:t>
            </w:r>
          </w:p>
          <w:p>
            <w:pPr>
              <w:spacing w:line="360" w:lineRule="auto"/>
              <w:ind w:firstLine="420" w:firstLineChars="200"/>
            </w:pPr>
            <w:r>
              <w:rPr>
                <w:rFonts w:hint="eastAsia"/>
              </w:rPr>
              <w:t>员工能</w:t>
            </w:r>
            <w:r>
              <w:t>明确自身职责及岗位要求，自身工作影响，如何减少环境污染，员工人身安全意识等。</w:t>
            </w:r>
          </w:p>
          <w:p>
            <w:pPr>
              <w:spacing w:line="360" w:lineRule="auto"/>
              <w:ind w:firstLine="420" w:firstLineChars="200"/>
            </w:pPr>
            <w:r>
              <w:t>基本能满足要求。</w:t>
            </w:r>
          </w:p>
        </w:tc>
        <w:tc>
          <w:tcPr>
            <w:tcW w:w="1585" w:type="dxa"/>
          </w:tcPr>
          <w:p>
            <w:pPr>
              <w:spacing w:line="360" w:lineRule="auto"/>
              <w:rPr>
                <w:color w:val="0000FF"/>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80" w:type="dxa"/>
            <w:vAlign w:val="center"/>
          </w:tcPr>
          <w:p>
            <w:pPr>
              <w:spacing w:line="360" w:lineRule="auto"/>
              <w:jc w:val="center"/>
              <w:rPr>
                <w:szCs w:val="21"/>
              </w:rPr>
            </w:pPr>
            <w:r>
              <w:rPr>
                <w:rFonts w:hAnsi="宋体"/>
                <w:szCs w:val="21"/>
              </w:rPr>
              <w:t>组织知识</w:t>
            </w:r>
          </w:p>
        </w:tc>
        <w:tc>
          <w:tcPr>
            <w:tcW w:w="1140" w:type="dxa"/>
            <w:vAlign w:val="center"/>
          </w:tcPr>
          <w:p>
            <w:pPr>
              <w:spacing w:line="360" w:lineRule="auto"/>
              <w:jc w:val="center"/>
              <w:rPr>
                <w:szCs w:val="21"/>
              </w:rPr>
            </w:pPr>
            <w:r>
              <w:rPr>
                <w:rFonts w:hint="eastAsia" w:ascii="宋体" w:hAnsi="宋体" w:cs="Arial"/>
                <w:spacing w:val="-6"/>
                <w:szCs w:val="21"/>
              </w:rPr>
              <w:t>Q:7.1.6</w:t>
            </w:r>
          </w:p>
        </w:tc>
        <w:tc>
          <w:tcPr>
            <w:tcW w:w="10004" w:type="dxa"/>
          </w:tcPr>
          <w:p>
            <w:pPr>
              <w:spacing w:line="360" w:lineRule="auto"/>
              <w:ind w:firstLine="420" w:firstLineChars="200"/>
              <w:rPr>
                <w:rFonts w:eastAsiaTheme="minorEastAsia"/>
                <w:szCs w:val="21"/>
              </w:rPr>
            </w:pPr>
            <w:r>
              <w:rPr>
                <w:rFonts w:eastAsiaTheme="minorEastAsia"/>
                <w:szCs w:val="21"/>
              </w:rPr>
              <w:t>公司各部门按照职责从内外部各种渠道获得与其职责相关所需的知识，包括操作规程、管理技巧与经验、失败和事故的案例分析、科研成果、商标等；把知识形成各种规章制度用于指导公司的日常工作和管理，包括体系文件、支持性文件、各种记录表单。</w:t>
            </w:r>
          </w:p>
          <w:p>
            <w:pPr>
              <w:spacing w:line="360" w:lineRule="auto"/>
              <w:ind w:firstLine="420" w:firstLineChars="200"/>
              <w:rPr>
                <w:rFonts w:eastAsiaTheme="minorEastAsia"/>
                <w:szCs w:val="21"/>
              </w:rPr>
            </w:pPr>
            <w:r>
              <w:rPr>
                <w:rFonts w:eastAsiaTheme="minorEastAsia"/>
                <w:szCs w:val="21"/>
              </w:rPr>
              <w:t>从内部来源获取的有：多年的工作经验、教训、内部的知识产权等；</w:t>
            </w:r>
          </w:p>
          <w:p>
            <w:pPr>
              <w:spacing w:line="360" w:lineRule="auto"/>
              <w:ind w:firstLine="420" w:firstLineChars="200"/>
              <w:rPr>
                <w:rFonts w:eastAsiaTheme="minorEastAsia"/>
                <w:szCs w:val="21"/>
              </w:rPr>
            </w:pPr>
            <w:r>
              <w:rPr>
                <w:rFonts w:eastAsiaTheme="minorEastAsia"/>
                <w:szCs w:val="21"/>
              </w:rPr>
              <w:t>外部来源获取有：标杆对比、行业会议、客户技术要求、咨询老师传授的体系知识及所实施的内审员的培训；顾客方提供的资料等。</w:t>
            </w:r>
          </w:p>
          <w:p>
            <w:pPr>
              <w:spacing w:line="360" w:lineRule="auto"/>
              <w:ind w:firstLine="420" w:firstLineChars="200"/>
              <w:rPr>
                <w:szCs w:val="22"/>
              </w:rPr>
            </w:pPr>
            <w:r>
              <w:rPr>
                <w:rFonts w:eastAsiaTheme="minorEastAsia"/>
                <w:szCs w:val="21"/>
              </w:rPr>
              <w:t>在应对变化的需求和趋势时，相关部门考虑现有的知识，确定如何获取更多的必要的额外知识，并根据变化的情况及时更新。</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980" w:type="dxa"/>
          </w:tcPr>
          <w:p>
            <w:pPr>
              <w:spacing w:line="360" w:lineRule="auto"/>
            </w:pPr>
            <w:r>
              <w:rPr>
                <w:rFonts w:hint="eastAsia"/>
              </w:rPr>
              <w:t>成文信息</w:t>
            </w:r>
          </w:p>
        </w:tc>
        <w:tc>
          <w:tcPr>
            <w:tcW w:w="1140" w:type="dxa"/>
          </w:tcPr>
          <w:p>
            <w:pPr>
              <w:spacing w:line="360" w:lineRule="auto"/>
              <w:rPr>
                <w:rFonts w:ascii="宋体" w:hAnsi="宋体" w:cs="Arial"/>
                <w:spacing w:val="-6"/>
                <w:szCs w:val="21"/>
              </w:rPr>
            </w:pPr>
            <w:r>
              <w:rPr>
                <w:rFonts w:hint="eastAsia" w:ascii="宋体" w:hAnsi="宋体" w:cs="Arial"/>
                <w:spacing w:val="-6"/>
                <w:szCs w:val="21"/>
              </w:rPr>
              <w:t>QEO:7.5</w:t>
            </w:r>
          </w:p>
        </w:tc>
        <w:tc>
          <w:tcPr>
            <w:tcW w:w="10004" w:type="dxa"/>
          </w:tcPr>
          <w:p>
            <w:pPr>
              <w:spacing w:line="360" w:lineRule="auto"/>
              <w:ind w:firstLine="420" w:firstLineChars="200"/>
            </w:pPr>
            <w:r>
              <w:rPr>
                <w:rFonts w:hint="eastAsia"/>
              </w:rPr>
              <w:t>策划了公司的管理体系文件，包括：</w:t>
            </w:r>
          </w:p>
          <w:p>
            <w:pPr>
              <w:spacing w:line="360" w:lineRule="auto"/>
              <w:ind w:firstLine="420" w:firstLineChars="200"/>
            </w:pPr>
            <w:r>
              <w:rPr>
                <w:rFonts w:hint="eastAsia"/>
              </w:rPr>
              <w:t>《管理手册》D/1版，管理体系于2021年06月02日实施；</w:t>
            </w:r>
          </w:p>
          <w:p>
            <w:pPr>
              <w:spacing w:line="360" w:lineRule="auto"/>
              <w:ind w:firstLine="420" w:firstLineChars="200"/>
            </w:pPr>
            <w:r>
              <w:rPr>
                <w:rFonts w:hint="eastAsia"/>
              </w:rPr>
              <w:t>手册变更原因：修改产品范围、</w:t>
            </w:r>
            <w:r>
              <w:rPr>
                <w:rFonts w:hint="eastAsia"/>
                <w:lang w:val="en-US" w:eastAsia="zh-CN"/>
              </w:rPr>
              <w:t>总经理和管代变更、</w:t>
            </w:r>
            <w:r>
              <w:rPr>
                <w:rFonts w:hint="eastAsia"/>
              </w:rPr>
              <w:t>条款职责与实际相对应；</w:t>
            </w:r>
          </w:p>
          <w:p>
            <w:pPr>
              <w:spacing w:line="360" w:lineRule="auto"/>
              <w:ind w:firstLine="420" w:firstLineChars="200"/>
            </w:pPr>
            <w:r>
              <w:rPr>
                <w:rFonts w:hint="eastAsia"/>
              </w:rPr>
              <w:t>另程序</w:t>
            </w:r>
            <w:r>
              <w:rPr>
                <w:rFonts w:hint="eastAsia"/>
                <w:szCs w:val="22"/>
              </w:rPr>
              <w:t>文件27个，D/</w:t>
            </w:r>
            <w:r>
              <w:rPr>
                <w:rFonts w:hint="eastAsia"/>
                <w:szCs w:val="22"/>
                <w:lang w:val="en-US" w:eastAsia="zh-CN"/>
              </w:rPr>
              <w:t>1</w:t>
            </w:r>
            <w:r>
              <w:rPr>
                <w:rFonts w:hint="eastAsia"/>
                <w:szCs w:val="22"/>
              </w:rPr>
              <w:t>版，于2019年12月09日实施</w:t>
            </w:r>
            <w:r>
              <w:rPr>
                <w:rFonts w:hint="eastAsia"/>
              </w:rPr>
              <w:t>；</w:t>
            </w:r>
            <w:bookmarkStart w:id="0" w:name="_GoBack"/>
            <w:bookmarkEnd w:id="0"/>
          </w:p>
          <w:p>
            <w:pPr>
              <w:spacing w:line="360" w:lineRule="auto"/>
              <w:ind w:firstLine="420" w:firstLineChars="200"/>
            </w:pPr>
            <w:r>
              <w:rPr>
                <w:rFonts w:hint="eastAsia"/>
              </w:rPr>
              <w:t>管理文件——剪板作业指导书、冲压作业指导书、折弯作业指导书、钻孔作业指导书、焊接作业指导书、喷涂作业指导书、组装作业指导书、包装作业指导书、检验规程等；</w:t>
            </w:r>
          </w:p>
          <w:p>
            <w:pPr>
              <w:spacing w:line="360" w:lineRule="auto"/>
              <w:ind w:firstLine="420" w:firstLineChars="200"/>
            </w:pPr>
            <w:r>
              <w:rPr>
                <w:rFonts w:hint="eastAsia"/>
              </w:rPr>
              <w:t>建立有外来文件清单，收集中华人民共和国安全生产法、中华人民共和国环境保护法、中华人民共和国质量法、金属家具通用技术条件GB/T 3325-2017、《钢制书架 第1部分：单、复柱书架》GB/T 13667.1-2015、钢制书架 第3部分：手动密集书架GB/T 13667.3-2013、钢制书架 第4部分：电动密集书架GB/T 13667.4-2013、钢制文件柜技术条件QB1097—2010、钢制书柜、资料柜通用技术条件GB/T 13668-2015、住宅信报箱GB/T24295—2009、涂装作业安全规程-粉末静电喷涂工艺安全GB 15067-2008等；</w:t>
            </w:r>
          </w:p>
          <w:p>
            <w:pPr>
              <w:spacing w:line="360" w:lineRule="auto"/>
              <w:ind w:firstLine="420" w:firstLineChars="200"/>
            </w:pPr>
            <w:r>
              <w:rPr>
                <w:rFonts w:hint="eastAsia"/>
              </w:rPr>
              <w:t>文件化管理体系目前基本满足要求。</w:t>
            </w:r>
          </w:p>
          <w:p>
            <w:pPr>
              <w:spacing w:line="360" w:lineRule="auto"/>
              <w:ind w:firstLine="420" w:firstLineChars="200"/>
            </w:pPr>
            <w:r>
              <w:rPr>
                <w:rFonts w:hint="eastAsia"/>
              </w:rPr>
              <w:t>——在编制体系文件时，对文件进行标识，主要有文件名称/编制部门/批准日期/文件编号等，经查管理手册/程序文件基本符合标准要求。</w:t>
            </w:r>
          </w:p>
          <w:p>
            <w:pPr>
              <w:spacing w:line="360" w:lineRule="auto"/>
              <w:ind w:firstLine="420" w:firstLineChars="200"/>
            </w:pPr>
            <w:r>
              <w:rPr>
                <w:rFonts w:hint="eastAsia"/>
              </w:rPr>
              <w:t>管理体系文件经过总经理审批实施发布，经评审，目前文件和目录均适用。符合要求。</w:t>
            </w:r>
          </w:p>
          <w:p>
            <w:pPr>
              <w:spacing w:line="360" w:lineRule="auto"/>
              <w:ind w:firstLine="420" w:firstLineChars="200"/>
            </w:pPr>
            <w:r>
              <w:rPr>
                <w:rFonts w:hint="eastAsia"/>
              </w:rPr>
              <w:t>——编制《文件控制程序》，内容符合基本标准要求。</w:t>
            </w:r>
          </w:p>
          <w:p>
            <w:pPr>
              <w:spacing w:line="360" w:lineRule="auto"/>
              <w:ind w:firstLine="420" w:firstLineChars="200"/>
            </w:pPr>
            <w:r>
              <w:rPr>
                <w:rFonts w:hint="eastAsia"/>
              </w:rPr>
              <w:t>抽查：受控文件清单、管理评审计划、培训计划、环境因素、职业健康安全危险源识别与评价表等，其成文信息标识清晰，填写基本齐全、清晰，成文信息在文件柜中分类编目保存，成文信息的贮存和保护符合要求，检索方便。</w:t>
            </w:r>
          </w:p>
          <w:p>
            <w:pPr>
              <w:spacing w:line="360" w:lineRule="auto"/>
              <w:ind w:firstLine="420" w:firstLineChars="200"/>
            </w:pPr>
            <w:r>
              <w:rPr>
                <w:rFonts w:hint="eastAsia"/>
              </w:rPr>
              <w:t>成文信息由各部门负责保存，以便查阅。</w:t>
            </w:r>
          </w:p>
          <w:p>
            <w:pPr>
              <w:spacing w:line="360" w:lineRule="auto"/>
              <w:ind w:firstLine="420" w:firstLineChars="200"/>
            </w:pPr>
            <w:r>
              <w:rPr>
                <w:rFonts w:hint="eastAsia"/>
              </w:rPr>
              <w:t>经查，基本符合标准要求。</w:t>
            </w:r>
          </w:p>
        </w:tc>
        <w:tc>
          <w:tcPr>
            <w:tcW w:w="1585" w:type="dxa"/>
          </w:tcPr>
          <w:p>
            <w:pPr>
              <w:spacing w:line="360" w:lineRule="auto"/>
              <w:rPr>
                <w:color w:val="0000FF"/>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980" w:type="dxa"/>
            <w:vAlign w:val="center"/>
          </w:tcPr>
          <w:p>
            <w:pPr>
              <w:spacing w:line="360" w:lineRule="auto"/>
              <w:rPr>
                <w:rFonts w:hint="eastAsia" w:ascii="宋体" w:hAnsi="宋体" w:cs="Arial"/>
                <w:spacing w:val="-6"/>
                <w:sz w:val="21"/>
                <w:szCs w:val="21"/>
              </w:rPr>
            </w:pPr>
            <w:r>
              <w:rPr>
                <w:rFonts w:hAnsiTheme="minorEastAsia" w:eastAsiaTheme="minorEastAsia"/>
                <w:sz w:val="21"/>
                <w:szCs w:val="21"/>
              </w:rPr>
              <w:t>运行策划和控制</w:t>
            </w:r>
          </w:p>
        </w:tc>
        <w:tc>
          <w:tcPr>
            <w:tcW w:w="1140" w:type="dxa"/>
            <w:vAlign w:val="center"/>
          </w:tcPr>
          <w:p>
            <w:pPr>
              <w:spacing w:line="360" w:lineRule="auto"/>
              <w:rPr>
                <w:rFonts w:eastAsiaTheme="minorEastAsia"/>
                <w:bCs/>
                <w:sz w:val="21"/>
                <w:szCs w:val="21"/>
              </w:rPr>
            </w:pPr>
            <w:r>
              <w:rPr>
                <w:rFonts w:eastAsiaTheme="minorEastAsia"/>
                <w:bCs/>
                <w:sz w:val="21"/>
                <w:szCs w:val="21"/>
              </w:rPr>
              <w:t>E8.1</w:t>
            </w:r>
          </w:p>
          <w:p>
            <w:pPr>
              <w:spacing w:line="360" w:lineRule="auto"/>
              <w:rPr>
                <w:rFonts w:eastAsiaTheme="minorEastAsia"/>
                <w:sz w:val="21"/>
                <w:szCs w:val="21"/>
              </w:rPr>
            </w:pPr>
            <w:r>
              <w:rPr>
                <w:rFonts w:eastAsiaTheme="minorEastAsia"/>
                <w:bCs/>
                <w:sz w:val="21"/>
                <w:szCs w:val="21"/>
              </w:rPr>
              <w:t>O</w:t>
            </w:r>
            <w:r>
              <w:rPr>
                <w:rFonts w:eastAsiaTheme="minorEastAsia"/>
                <w:sz w:val="21"/>
                <w:szCs w:val="21"/>
              </w:rPr>
              <w:t>8.1</w:t>
            </w:r>
          </w:p>
          <w:p>
            <w:pPr>
              <w:spacing w:line="360" w:lineRule="auto"/>
              <w:rPr>
                <w:rFonts w:hint="eastAsia" w:ascii="宋体" w:hAnsi="宋体" w:cs="Arial"/>
                <w:spacing w:val="-6"/>
                <w:sz w:val="21"/>
                <w:szCs w:val="21"/>
              </w:rPr>
            </w:pPr>
          </w:p>
        </w:tc>
        <w:tc>
          <w:tcPr>
            <w:tcW w:w="10004" w:type="dxa"/>
            <w:vAlign w:val="center"/>
          </w:tcPr>
          <w:p>
            <w:pPr>
              <w:snapToGrid w:val="0"/>
              <w:spacing w:line="360" w:lineRule="auto"/>
              <w:ind w:firstLine="420" w:firstLineChars="200"/>
              <w:rPr>
                <w:rFonts w:eastAsiaTheme="minorEastAsia"/>
                <w:sz w:val="21"/>
                <w:szCs w:val="21"/>
              </w:rPr>
            </w:pPr>
            <w:r>
              <w:rPr>
                <w:rFonts w:hAnsiTheme="minorEastAsia" w:eastAsiaTheme="minorEastAsia"/>
                <w:sz w:val="21"/>
                <w:szCs w:val="21"/>
              </w:rPr>
              <w:t>公司制定并实施了运行控制程序、废弃物控制程序、噪声控制程序、消防控制程序、资源能源控制程序、化学品油品控制程序、安全防火规程、员工职业健康及劳动保护管理规定、办公用品管理规定、节约用水管理规定、垃圾管理规定、固体废弃物管理规定、应急预案等环境与职业健康安全控制程序和管理制度。</w:t>
            </w:r>
          </w:p>
          <w:p>
            <w:pPr>
              <w:snapToGrid w:val="0"/>
              <w:spacing w:line="360" w:lineRule="auto"/>
              <w:ind w:firstLine="420" w:firstLineChars="200"/>
              <w:rPr>
                <w:rFonts w:eastAsiaTheme="minorEastAsia"/>
                <w:sz w:val="21"/>
                <w:szCs w:val="21"/>
              </w:rPr>
            </w:pPr>
            <w:r>
              <w:rPr>
                <w:rFonts w:hAnsiTheme="minorEastAsia" w:eastAsiaTheme="minorEastAsia"/>
                <w:sz w:val="21"/>
                <w:szCs w:val="21"/>
              </w:rPr>
              <w:t>生产经营地址：</w:t>
            </w:r>
            <w:r>
              <w:rPr>
                <w:rFonts w:hint="eastAsia" w:hAnsiTheme="minorEastAsia" w:eastAsiaTheme="minorEastAsia"/>
                <w:sz w:val="21"/>
                <w:szCs w:val="21"/>
              </w:rPr>
              <w:t>江西省樟树市大桥工业园；</w:t>
            </w:r>
            <w:r>
              <w:rPr>
                <w:rFonts w:hAnsiTheme="minorEastAsia" w:eastAsiaTheme="minorEastAsia"/>
                <w:sz w:val="21"/>
                <w:szCs w:val="21"/>
              </w:rPr>
              <w:t>公司四周是其他企业，无重大敏感区，根据体系运行的需要设置了生产区、办公区。</w:t>
            </w:r>
          </w:p>
          <w:p>
            <w:pPr>
              <w:snapToGrid w:val="0"/>
              <w:spacing w:line="360" w:lineRule="auto"/>
              <w:ind w:firstLine="420" w:firstLineChars="200"/>
              <w:rPr>
                <w:rFonts w:hAnsiTheme="minorEastAsia" w:eastAsiaTheme="minorEastAsia"/>
                <w:sz w:val="21"/>
                <w:szCs w:val="21"/>
              </w:rPr>
            </w:pPr>
            <w:r>
              <w:rPr>
                <w:rFonts w:hAnsiTheme="minorEastAsia" w:eastAsiaTheme="minorEastAsia"/>
                <w:sz w:val="21"/>
                <w:szCs w:val="21"/>
              </w:rPr>
              <w:t>行政部定期组织环保和安全知识培训，员工具备了基本的环保和职业健康安全防护意识。</w:t>
            </w:r>
          </w:p>
          <w:p>
            <w:pPr>
              <w:snapToGrid w:val="0"/>
              <w:spacing w:line="360" w:lineRule="auto"/>
              <w:ind w:firstLine="420" w:firstLineChars="200"/>
              <w:rPr>
                <w:rFonts w:hAnsiTheme="minorEastAsia" w:eastAsiaTheme="minorEastAsia"/>
                <w:sz w:val="21"/>
                <w:szCs w:val="21"/>
              </w:rPr>
            </w:pPr>
            <w:r>
              <w:rPr>
                <w:rFonts w:hint="eastAsia" w:hAnsiTheme="minorEastAsia" w:eastAsiaTheme="minorEastAsia"/>
                <w:sz w:val="21"/>
                <w:szCs w:val="21"/>
              </w:rPr>
              <w:t>废水管控：办公过程不产生废水，生活废水排入管网集中处理。</w:t>
            </w:r>
          </w:p>
          <w:p>
            <w:pPr>
              <w:snapToGrid w:val="0"/>
              <w:spacing w:line="360" w:lineRule="auto"/>
              <w:ind w:firstLine="420" w:firstLineChars="200"/>
              <w:rPr>
                <w:rFonts w:hAnsiTheme="minorEastAsia" w:eastAsiaTheme="minorEastAsia"/>
                <w:sz w:val="21"/>
                <w:szCs w:val="21"/>
              </w:rPr>
            </w:pPr>
            <w:r>
              <w:rPr>
                <w:rFonts w:hint="eastAsia" w:hAnsiTheme="minorEastAsia" w:eastAsiaTheme="minorEastAsia"/>
                <w:sz w:val="21"/>
                <w:szCs w:val="21"/>
              </w:rPr>
              <w:t>废气管控：无。</w:t>
            </w:r>
          </w:p>
          <w:p>
            <w:pPr>
              <w:snapToGrid w:val="0"/>
              <w:spacing w:line="360" w:lineRule="auto"/>
              <w:ind w:firstLine="420" w:firstLineChars="200"/>
              <w:rPr>
                <w:rFonts w:hAnsiTheme="minorEastAsia" w:eastAsiaTheme="minorEastAsia"/>
                <w:sz w:val="21"/>
                <w:szCs w:val="21"/>
              </w:rPr>
            </w:pPr>
            <w:r>
              <w:rPr>
                <w:rFonts w:hint="eastAsia" w:hAnsiTheme="minorEastAsia" w:eastAsiaTheme="minorEastAsia"/>
                <w:sz w:val="21"/>
                <w:szCs w:val="21"/>
              </w:rPr>
              <w:t>噪声管控：办公过程过程基本无噪声</w:t>
            </w:r>
          </w:p>
          <w:p>
            <w:pPr>
              <w:spacing w:line="360" w:lineRule="auto"/>
              <w:ind w:firstLine="420" w:firstLineChars="200"/>
              <w:rPr>
                <w:rFonts w:hAnsiTheme="minorEastAsia" w:eastAsiaTheme="minorEastAsia"/>
                <w:sz w:val="21"/>
                <w:szCs w:val="21"/>
              </w:rPr>
            </w:pPr>
            <w:r>
              <w:rPr>
                <w:rFonts w:hint="eastAsia" w:hAnsiTheme="minorEastAsia" w:eastAsiaTheme="minorEastAsia"/>
                <w:sz w:val="21"/>
                <w:szCs w:val="21"/>
              </w:rPr>
              <w:t>办公室内主要是电的使用，电器有漏电保护器，经常对电路、电源进行检查，没有露电现象发生，查见有消除安全检查记录，202</w:t>
            </w:r>
            <w:r>
              <w:rPr>
                <w:rFonts w:hint="eastAsia" w:hAnsiTheme="minorEastAsia" w:eastAsiaTheme="minorEastAsia"/>
                <w:sz w:val="21"/>
                <w:szCs w:val="21"/>
                <w:lang w:val="en-US" w:eastAsia="zh-CN"/>
              </w:rPr>
              <w:t>2</w:t>
            </w:r>
            <w:r>
              <w:rPr>
                <w:rFonts w:hint="eastAsia" w:hAnsiTheme="minorEastAsia" w:eastAsiaTheme="minorEastAsia"/>
                <w:sz w:val="21"/>
                <w:szCs w:val="21"/>
              </w:rPr>
              <w:t>.1月---202</w:t>
            </w:r>
            <w:r>
              <w:rPr>
                <w:rFonts w:hint="eastAsia" w:hAnsiTheme="minorEastAsia" w:eastAsiaTheme="minorEastAsia"/>
                <w:sz w:val="21"/>
                <w:szCs w:val="21"/>
                <w:lang w:val="en-US" w:eastAsia="zh-CN"/>
              </w:rPr>
              <w:t>2</w:t>
            </w:r>
            <w:r>
              <w:rPr>
                <w:rFonts w:hint="eastAsia" w:hAnsiTheme="minorEastAsia" w:eastAsiaTheme="minorEastAsia"/>
                <w:sz w:val="21"/>
                <w:szCs w:val="21"/>
              </w:rPr>
              <w:t>.</w:t>
            </w:r>
            <w:r>
              <w:rPr>
                <w:rFonts w:hint="eastAsia" w:hAnsiTheme="minorEastAsia" w:eastAsiaTheme="minorEastAsia"/>
                <w:sz w:val="21"/>
                <w:szCs w:val="21"/>
                <w:lang w:val="en-US" w:eastAsia="zh-CN"/>
              </w:rPr>
              <w:t>3</w:t>
            </w:r>
            <w:r>
              <w:rPr>
                <w:rFonts w:hint="eastAsia" w:hAnsiTheme="minorEastAsia" w:eastAsiaTheme="minorEastAsia"/>
                <w:sz w:val="21"/>
                <w:szCs w:val="21"/>
              </w:rPr>
              <w:t>月份检查结果正常，检查人魏东、黄刚强。</w:t>
            </w:r>
          </w:p>
          <w:p>
            <w:pPr>
              <w:spacing w:line="360" w:lineRule="auto"/>
              <w:ind w:firstLine="420" w:firstLineChars="200"/>
              <w:rPr>
                <w:rFonts w:eastAsiaTheme="minorEastAsia"/>
                <w:sz w:val="21"/>
                <w:szCs w:val="21"/>
              </w:rPr>
            </w:pPr>
            <w:r>
              <w:rPr>
                <w:rFonts w:hAnsiTheme="minorEastAsia" w:eastAsiaTheme="minorEastAsia"/>
                <w:sz w:val="21"/>
                <w:szCs w:val="21"/>
              </w:rPr>
              <w:t>按公司要求人走关灯，行政部电脑要求人走后电源切断。</w:t>
            </w:r>
          </w:p>
          <w:p>
            <w:pPr>
              <w:spacing w:line="360" w:lineRule="auto"/>
              <w:ind w:firstLine="420" w:firstLineChars="200"/>
              <w:rPr>
                <w:rFonts w:eastAsiaTheme="minorEastAsia"/>
                <w:sz w:val="21"/>
                <w:szCs w:val="21"/>
              </w:rPr>
            </w:pPr>
            <w:r>
              <w:rPr>
                <w:rFonts w:hAnsiTheme="minorEastAsia" w:eastAsiaTheme="minorEastAsia"/>
                <w:sz w:val="21"/>
                <w:szCs w:val="21"/>
              </w:rPr>
              <w:t>行政部垃圾主要包含可回收垃圾、硒鼓、废纸。公司配置了垃圾箱，行政部统一处理。对可回收的固体废弃物，一部分由厂家回收，厂家不回收的公司统一回收再利用或由物资回收公司处理，不可回收的废弃物由环卫部门处理。</w:t>
            </w:r>
          </w:p>
          <w:p>
            <w:pPr>
              <w:spacing w:line="360" w:lineRule="auto"/>
              <w:ind w:firstLine="420" w:firstLineChars="200"/>
              <w:rPr>
                <w:rFonts w:eastAsiaTheme="minorEastAsia"/>
                <w:sz w:val="21"/>
                <w:szCs w:val="21"/>
              </w:rPr>
            </w:pPr>
            <w:r>
              <w:rPr>
                <w:rFonts w:hAnsiTheme="minorEastAsia" w:eastAsiaTheme="minorEastAsia"/>
                <w:sz w:val="21"/>
                <w:szCs w:val="21"/>
              </w:rPr>
              <w:t>为满足环境和职业健康安全体系的运行，</w:t>
            </w:r>
            <w:r>
              <w:rPr>
                <w:rFonts w:hint="eastAsia" w:hAnsiTheme="minorEastAsia" w:eastAsiaTheme="minorEastAsia"/>
                <w:sz w:val="21"/>
                <w:szCs w:val="21"/>
              </w:rPr>
              <w:t>体系运行至今</w:t>
            </w:r>
            <w:r>
              <w:rPr>
                <w:rFonts w:hAnsiTheme="minorEastAsia" w:eastAsiaTheme="minorEastAsia"/>
                <w:sz w:val="21"/>
                <w:szCs w:val="21"/>
              </w:rPr>
              <w:t>公司投入主要是安全教育培训、环保</w:t>
            </w:r>
            <w:r>
              <w:rPr>
                <w:rFonts w:hint="eastAsia" w:hAnsiTheme="minorEastAsia" w:eastAsiaTheme="minorEastAsia"/>
                <w:sz w:val="21"/>
                <w:szCs w:val="21"/>
              </w:rPr>
              <w:t>/消防设施费用、</w:t>
            </w:r>
            <w:r>
              <w:rPr>
                <w:rFonts w:hAnsiTheme="minorEastAsia" w:eastAsiaTheme="minorEastAsia"/>
                <w:sz w:val="21"/>
                <w:szCs w:val="21"/>
              </w:rPr>
              <w:t>劳保用品、社保等，运行至今支出约</w:t>
            </w:r>
            <w:r>
              <w:rPr>
                <w:rFonts w:hint="eastAsia" w:eastAsiaTheme="minorEastAsia"/>
                <w:sz w:val="21"/>
                <w:szCs w:val="21"/>
              </w:rPr>
              <w:t>1</w:t>
            </w:r>
            <w:r>
              <w:rPr>
                <w:rFonts w:hint="eastAsia" w:eastAsiaTheme="minorEastAsia"/>
                <w:sz w:val="21"/>
                <w:szCs w:val="21"/>
                <w:lang w:val="en-US" w:eastAsia="zh-CN"/>
              </w:rPr>
              <w:t>6</w:t>
            </w:r>
            <w:r>
              <w:rPr>
                <w:rFonts w:hAnsiTheme="minorEastAsia" w:eastAsiaTheme="minorEastAsia"/>
                <w:sz w:val="21"/>
                <w:szCs w:val="21"/>
              </w:rPr>
              <w:t>万余元。</w:t>
            </w:r>
          </w:p>
          <w:p>
            <w:pPr>
              <w:spacing w:line="360" w:lineRule="auto"/>
              <w:ind w:firstLine="420" w:firstLineChars="200"/>
              <w:rPr>
                <w:rFonts w:hAnsiTheme="minorEastAsia" w:eastAsiaTheme="minorEastAsia"/>
                <w:sz w:val="21"/>
                <w:szCs w:val="21"/>
              </w:rPr>
            </w:pPr>
            <w:r>
              <w:rPr>
                <w:rFonts w:hAnsiTheme="minorEastAsia" w:eastAsiaTheme="minorEastAsia"/>
                <w:sz w:val="21"/>
                <w:szCs w:val="21"/>
              </w:rPr>
              <w:t>办公纸张尽量采取双面打印，人走灯灭，定期检查水管跑冒滴漏。</w:t>
            </w:r>
          </w:p>
          <w:p>
            <w:pPr>
              <w:spacing w:line="360" w:lineRule="auto"/>
              <w:ind w:firstLine="420" w:firstLineChars="200"/>
              <w:rPr>
                <w:rFonts w:eastAsiaTheme="minorEastAsia"/>
                <w:sz w:val="21"/>
                <w:szCs w:val="21"/>
              </w:rPr>
            </w:pPr>
            <w:r>
              <w:rPr>
                <w:rFonts w:hAnsiTheme="minorEastAsia" w:eastAsiaTheme="minorEastAsia"/>
                <w:sz w:val="21"/>
                <w:szCs w:val="21"/>
              </w:rPr>
              <w:t>巡视查看现场办公区域配备了灭火器等消防设施，状况正常。</w:t>
            </w:r>
          </w:p>
          <w:p>
            <w:pPr>
              <w:spacing w:line="360" w:lineRule="auto"/>
              <w:ind w:firstLine="420" w:firstLineChars="200"/>
              <w:rPr>
                <w:rFonts w:hint="eastAsia"/>
                <w:sz w:val="21"/>
                <w:szCs w:val="21"/>
              </w:rPr>
            </w:pPr>
            <w:r>
              <w:rPr>
                <w:rFonts w:hAnsiTheme="minorEastAsia" w:eastAsiaTheme="minorEastAsia"/>
                <w:sz w:val="21"/>
                <w:szCs w:val="21"/>
              </w:rPr>
              <w:t>部门运行控制基本符合要求。</w:t>
            </w:r>
          </w:p>
        </w:tc>
        <w:tc>
          <w:tcPr>
            <w:tcW w:w="1585" w:type="dxa"/>
            <w:vAlign w:val="top"/>
          </w:tcPr>
          <w:p>
            <w:pPr>
              <w:spacing w:line="360" w:lineRule="auto"/>
              <w:rPr>
                <w:rFonts w:hint="eastAsia"/>
                <w:sz w:val="21"/>
                <w:szCs w:val="21"/>
              </w:rPr>
            </w:pPr>
            <w:r>
              <w:rPr>
                <w:rFonts w:hint="eastAsia" w:eastAsiaTheme="minor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980" w:type="dxa"/>
          </w:tcPr>
          <w:p>
            <w:pPr>
              <w:spacing w:line="360" w:lineRule="auto"/>
              <w:rPr>
                <w:rFonts w:ascii="宋体" w:hAnsi="宋体" w:cs="Arial"/>
                <w:spacing w:val="-6"/>
                <w:szCs w:val="21"/>
              </w:rPr>
            </w:pPr>
            <w:r>
              <w:rPr>
                <w:rFonts w:hint="eastAsia" w:ascii="宋体" w:hAnsi="宋体" w:cs="Arial"/>
                <w:spacing w:val="-6"/>
                <w:szCs w:val="21"/>
              </w:rPr>
              <w:t>监视、测量、分析和评价总则</w:t>
            </w:r>
          </w:p>
          <w:p>
            <w:pPr>
              <w:spacing w:line="360" w:lineRule="auto"/>
            </w:pPr>
            <w:r>
              <w:rPr>
                <w:rFonts w:hint="eastAsia" w:ascii="宋体" w:hAnsi="宋体" w:cs="Arial"/>
                <w:spacing w:val="-6"/>
                <w:szCs w:val="21"/>
              </w:rPr>
              <w:t>分析与评价</w:t>
            </w:r>
          </w:p>
        </w:tc>
        <w:tc>
          <w:tcPr>
            <w:tcW w:w="1140" w:type="dxa"/>
          </w:tcPr>
          <w:p>
            <w:pPr>
              <w:spacing w:line="360" w:lineRule="auto"/>
              <w:jc w:val="center"/>
              <w:rPr>
                <w:rFonts w:ascii="宋体" w:hAnsi="宋体" w:cs="Arial"/>
                <w:spacing w:val="-6"/>
                <w:szCs w:val="21"/>
              </w:rPr>
            </w:pPr>
            <w:r>
              <w:rPr>
                <w:rFonts w:hint="eastAsia" w:ascii="宋体" w:hAnsi="宋体" w:cs="Arial"/>
                <w:spacing w:val="-6"/>
                <w:szCs w:val="21"/>
              </w:rPr>
              <w:t>Q:9.1.1</w:t>
            </w:r>
          </w:p>
          <w:p>
            <w:pPr>
              <w:spacing w:line="360" w:lineRule="auto"/>
              <w:jc w:val="center"/>
            </w:pPr>
            <w:r>
              <w:rPr>
                <w:rFonts w:hint="eastAsia" w:ascii="宋体" w:hAnsi="宋体" w:cs="Arial"/>
                <w:spacing w:val="-6"/>
                <w:szCs w:val="21"/>
              </w:rPr>
              <w:t>9.1.3</w:t>
            </w:r>
          </w:p>
        </w:tc>
        <w:tc>
          <w:tcPr>
            <w:tcW w:w="10004" w:type="dxa"/>
          </w:tcPr>
          <w:p>
            <w:pPr>
              <w:spacing w:line="360" w:lineRule="auto"/>
              <w:ind w:firstLine="420" w:firstLineChars="200"/>
            </w:pPr>
            <w:r>
              <w:rPr>
                <w:rFonts w:hint="eastAsia"/>
              </w:rPr>
              <w:t>公司在管理手册中明确了监视测量的要求，</w:t>
            </w:r>
            <w:r>
              <w:t>制定了《顾客满意度测量控制程序》、《管理评审控制程序》和《内部审核控制程序》等程序。</w:t>
            </w:r>
          </w:p>
          <w:p>
            <w:pPr>
              <w:spacing w:line="360" w:lineRule="auto"/>
              <w:ind w:firstLine="420" w:firstLineChars="200"/>
            </w:pPr>
            <w:r>
              <w:rPr>
                <w:rFonts w:hint="eastAsia"/>
              </w:rPr>
              <w:t>行政部保留“目标考核表”，对各部门完成目标情况进行监测；</w:t>
            </w:r>
          </w:p>
          <w:p>
            <w:pPr>
              <w:pStyle w:val="3"/>
              <w:spacing w:line="360" w:lineRule="auto"/>
              <w:ind w:firstLine="420"/>
            </w:pPr>
            <w:r>
              <w:rPr>
                <w:rFonts w:hint="eastAsia"/>
              </w:rPr>
              <w:t>查见“环境安全运行检查记录”，每月一次，抽见2021年</w:t>
            </w:r>
            <w:r>
              <w:rPr>
                <w:rFonts w:hint="eastAsia"/>
                <w:lang w:val="en-US" w:eastAsia="zh-CN"/>
              </w:rPr>
              <w:t>7-12</w:t>
            </w:r>
            <w:r>
              <w:rPr>
                <w:rFonts w:hint="eastAsia"/>
              </w:rPr>
              <w:t>月，对固废集中收集、安全用电、消防安全、持证上岗等情况进行检查，均正常。</w:t>
            </w:r>
          </w:p>
          <w:p>
            <w:pPr>
              <w:pStyle w:val="3"/>
              <w:spacing w:line="360" w:lineRule="auto"/>
              <w:ind w:firstLine="420"/>
            </w:pPr>
            <w:r>
              <w:rPr>
                <w:rFonts w:hint="eastAsia"/>
              </w:rPr>
              <w:t>提供三废“检测报告”，对废水、厂界噪声、有组织废气、无组织废气的排放浓度进行了检测；江西</w:t>
            </w:r>
            <w:r>
              <w:rPr>
                <w:rFonts w:hint="eastAsia"/>
                <w:lang w:val="en-US" w:eastAsia="zh-CN"/>
              </w:rPr>
              <w:t>祥逸</w:t>
            </w:r>
            <w:r>
              <w:rPr>
                <w:rFonts w:hint="eastAsia"/>
              </w:rPr>
              <w:t>检测</w:t>
            </w:r>
            <w:r>
              <w:rPr>
                <w:rFonts w:hint="eastAsia"/>
                <w:lang w:val="en-US" w:eastAsia="zh-CN"/>
              </w:rPr>
              <w:t>技术</w:t>
            </w:r>
            <w:r>
              <w:rPr>
                <w:rFonts w:hint="eastAsia"/>
              </w:rPr>
              <w:t>有限公司出具，202</w:t>
            </w:r>
            <w:r>
              <w:rPr>
                <w:rFonts w:hint="eastAsia"/>
                <w:lang w:val="en-US" w:eastAsia="zh-CN"/>
              </w:rPr>
              <w:t>1</w:t>
            </w:r>
            <w:r>
              <w:rPr>
                <w:rFonts w:hint="eastAsia"/>
              </w:rPr>
              <w:t>.</w:t>
            </w:r>
            <w:r>
              <w:rPr>
                <w:rFonts w:hint="eastAsia"/>
                <w:lang w:val="en-US" w:eastAsia="zh-CN"/>
              </w:rPr>
              <w:t>12</w:t>
            </w:r>
            <w:r>
              <w:rPr>
                <w:rFonts w:hint="eastAsia"/>
              </w:rPr>
              <w:t>.</w:t>
            </w:r>
            <w:r>
              <w:rPr>
                <w:rFonts w:hint="eastAsia"/>
                <w:lang w:val="en-US" w:eastAsia="zh-CN"/>
              </w:rPr>
              <w:t>9</w:t>
            </w:r>
            <w:r>
              <w:rPr>
                <w:rFonts w:hint="eastAsia"/>
              </w:rPr>
              <w:t>；</w:t>
            </w:r>
          </w:p>
          <w:p>
            <w:pPr>
              <w:pStyle w:val="3"/>
              <w:spacing w:line="360" w:lineRule="auto"/>
              <w:ind w:firstLine="420"/>
              <w:rPr>
                <w:color w:val="FF0000"/>
              </w:rPr>
            </w:pPr>
            <w:r>
              <w:rPr>
                <w:rFonts w:hint="eastAsia"/>
                <w:color w:val="FF0000"/>
              </w:rPr>
              <w:t>提供“工作场所职业危害检测报告”，2020.1.13，江西乾运安全评价检测有限公司出具；检测结果电焊烟尘、噪声符合要求，但喷塑工接触粉尘浓度不符合GBZ 2.1—2019工作场所有害因素职业接触限值第1部分：化学有害因素限值要求；介绍说，随即对除尘装置进行了改造、配发劳保用品，同时严密监测员工身体状况；</w:t>
            </w:r>
          </w:p>
          <w:p>
            <w:pPr>
              <w:pStyle w:val="3"/>
              <w:spacing w:line="360" w:lineRule="auto"/>
              <w:ind w:firstLine="420"/>
              <w:rPr>
                <w:color w:val="FF0000"/>
              </w:rPr>
            </w:pPr>
            <w:r>
              <w:rPr>
                <w:rFonts w:hint="eastAsia"/>
                <w:color w:val="FF0000"/>
              </w:rPr>
              <w:t>提供了“关于喷房工作场所粉尘超值问题情况说明”，2020.3.3；</w:t>
            </w:r>
          </w:p>
          <w:p>
            <w:pPr>
              <w:tabs>
                <w:tab w:val="center" w:pos="4535"/>
                <w:tab w:val="left" w:pos="7128"/>
              </w:tabs>
              <w:adjustRightInd w:val="0"/>
              <w:spacing w:line="288" w:lineRule="auto"/>
              <w:ind w:firstLine="420" w:firstLineChars="200"/>
              <w:textAlignment w:val="baseline"/>
              <w:rPr>
                <w:sz w:val="21"/>
                <w:szCs w:val="21"/>
              </w:rPr>
            </w:pPr>
            <w:r>
              <w:rPr>
                <w:rFonts w:hint="eastAsia" w:hAnsiTheme="minorEastAsia" w:eastAsiaTheme="minorEastAsia"/>
                <w:sz w:val="21"/>
                <w:szCs w:val="21"/>
                <w:lang w:val="en-US" w:eastAsia="zh-CN"/>
              </w:rPr>
              <w:t>提供了员工体检报告，公司于2021年11月10日为24名员工在丰城普惠健康体检管理公司进行了职业健康检查。</w:t>
            </w:r>
            <w:r>
              <w:rPr>
                <w:rFonts w:hAnsi="宋体"/>
                <w:sz w:val="21"/>
                <w:szCs w:val="21"/>
              </w:rPr>
              <w:t>，体检结果：无异常，可从事本岗位工作。</w:t>
            </w:r>
          </w:p>
          <w:p>
            <w:pPr>
              <w:spacing w:line="360" w:lineRule="auto"/>
              <w:ind w:firstLine="420" w:firstLineChars="200"/>
            </w:pPr>
            <w:r>
              <w:rPr>
                <w:rFonts w:hint="eastAsia"/>
              </w:rPr>
              <w:t>对目标完成、顾客满意等进行统计分析，保留分析结果。</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980" w:type="dxa"/>
            <w:vAlign w:val="center"/>
          </w:tcPr>
          <w:p>
            <w:pPr>
              <w:spacing w:line="360" w:lineRule="auto"/>
              <w:rPr>
                <w:rFonts w:hint="eastAsia" w:ascii="宋体" w:hAnsi="宋体" w:cs="Arial"/>
                <w:spacing w:val="-6"/>
                <w:sz w:val="21"/>
                <w:szCs w:val="21"/>
              </w:rPr>
            </w:pPr>
            <w:r>
              <w:rPr>
                <w:rFonts w:hAnsiTheme="minorEastAsia" w:eastAsiaTheme="minorEastAsia"/>
                <w:sz w:val="21"/>
                <w:szCs w:val="21"/>
              </w:rPr>
              <w:t>合规性评价</w:t>
            </w:r>
          </w:p>
        </w:tc>
        <w:tc>
          <w:tcPr>
            <w:tcW w:w="1140" w:type="dxa"/>
            <w:vAlign w:val="center"/>
          </w:tcPr>
          <w:p>
            <w:pPr>
              <w:spacing w:line="360" w:lineRule="auto"/>
              <w:rPr>
                <w:rFonts w:eastAsiaTheme="minorEastAsia"/>
                <w:sz w:val="21"/>
                <w:szCs w:val="21"/>
              </w:rPr>
            </w:pPr>
            <w:r>
              <w:rPr>
                <w:rFonts w:eastAsiaTheme="minorEastAsia"/>
                <w:sz w:val="21"/>
                <w:szCs w:val="21"/>
              </w:rPr>
              <w:t>E9.1.2</w:t>
            </w:r>
          </w:p>
          <w:p>
            <w:pPr>
              <w:spacing w:line="360" w:lineRule="auto"/>
              <w:rPr>
                <w:rFonts w:hint="eastAsia" w:ascii="宋体" w:hAnsi="宋体" w:cs="Arial"/>
                <w:spacing w:val="-6"/>
                <w:sz w:val="21"/>
                <w:szCs w:val="21"/>
              </w:rPr>
            </w:pPr>
            <w:r>
              <w:rPr>
                <w:rFonts w:eastAsiaTheme="minorEastAsia"/>
                <w:sz w:val="21"/>
                <w:szCs w:val="21"/>
              </w:rPr>
              <w:t>O9.1.2</w:t>
            </w:r>
          </w:p>
        </w:tc>
        <w:tc>
          <w:tcPr>
            <w:tcW w:w="10004" w:type="dxa"/>
            <w:vAlign w:val="center"/>
          </w:tcPr>
          <w:p>
            <w:pPr>
              <w:snapToGrid w:val="0"/>
              <w:spacing w:line="360" w:lineRule="auto"/>
              <w:ind w:right="392" w:firstLine="420" w:firstLineChars="200"/>
              <w:rPr>
                <w:rFonts w:eastAsiaTheme="minorEastAsia"/>
                <w:sz w:val="21"/>
                <w:szCs w:val="21"/>
              </w:rPr>
            </w:pPr>
            <w:r>
              <w:rPr>
                <w:rFonts w:hAnsiTheme="minorEastAsia" w:eastAsiaTheme="minorEastAsia"/>
                <w:sz w:val="21"/>
                <w:szCs w:val="21"/>
              </w:rPr>
              <w:t>编制了《合规性评价控制程序》，其中规定了对本公司法规及其他要求的合规性评价的要求。</w:t>
            </w:r>
          </w:p>
          <w:p>
            <w:pPr>
              <w:snapToGrid w:val="0"/>
              <w:spacing w:line="360" w:lineRule="auto"/>
              <w:ind w:right="392" w:firstLine="420" w:firstLineChars="200"/>
              <w:rPr>
                <w:rFonts w:eastAsiaTheme="minorEastAsia"/>
                <w:sz w:val="21"/>
                <w:szCs w:val="21"/>
              </w:rPr>
            </w:pPr>
            <w:r>
              <w:rPr>
                <w:rFonts w:hAnsiTheme="minorEastAsia" w:eastAsiaTheme="minorEastAsia"/>
                <w:sz w:val="21"/>
                <w:szCs w:val="21"/>
              </w:rPr>
              <w:t>提供了《合规性评价报告》、《合规性评价综述》</w:t>
            </w:r>
            <w:r>
              <w:rPr>
                <w:rFonts w:eastAsiaTheme="minorEastAsia"/>
                <w:sz w:val="21"/>
                <w:szCs w:val="21"/>
              </w:rPr>
              <w:t>,</w:t>
            </w:r>
            <w:r>
              <w:rPr>
                <w:rFonts w:hAnsiTheme="minorEastAsia" w:eastAsiaTheme="minorEastAsia"/>
                <w:sz w:val="21"/>
                <w:szCs w:val="21"/>
              </w:rPr>
              <w:t>对公司适用的法律法规及其他要求的遵守情况进行了评价，评价结论：从本次检查的结果来看，我公司没有违反国家法律、法规及相关标准，能严格遵守国家有关环境和职业健康安全管理方面的相关规定，密切关注法律法规的变化，并适时调整，严格按体系标准执行。</w:t>
            </w:r>
          </w:p>
          <w:p>
            <w:pPr>
              <w:snapToGrid w:val="0"/>
              <w:spacing w:line="360" w:lineRule="auto"/>
              <w:ind w:right="392" w:firstLine="420" w:firstLineChars="200"/>
              <w:rPr>
                <w:rFonts w:hint="eastAsia" w:ascii="宋体" w:hAnsi="宋体" w:eastAsia="宋体" w:cs="宋体"/>
                <w:b w:val="0"/>
                <w:bCs w:val="0"/>
                <w:sz w:val="21"/>
                <w:szCs w:val="21"/>
              </w:rPr>
            </w:pPr>
            <w:r>
              <w:rPr>
                <w:rFonts w:hAnsiTheme="minorEastAsia" w:eastAsiaTheme="minorEastAsia"/>
                <w:sz w:val="21"/>
                <w:szCs w:val="21"/>
              </w:rPr>
              <w:t>评价人：</w:t>
            </w:r>
            <w:r>
              <w:rPr>
                <w:rFonts w:hint="eastAsia" w:ascii="宋体" w:hAnsi="宋体" w:eastAsia="宋体" w:cs="宋体"/>
                <w:b w:val="0"/>
                <w:bCs w:val="0"/>
                <w:sz w:val="21"/>
                <w:szCs w:val="21"/>
                <w:lang w:eastAsia="zh-CN"/>
              </w:rPr>
              <w:t>黄刚强、魏东、杨战勇、杨润苟、黄爱英、袁凯</w:t>
            </w:r>
          </w:p>
          <w:p>
            <w:pPr>
              <w:snapToGrid w:val="0"/>
              <w:spacing w:line="360" w:lineRule="auto"/>
              <w:ind w:right="392" w:firstLine="420" w:firstLineChars="200"/>
              <w:rPr>
                <w:rFonts w:hAnsiTheme="minorEastAsia" w:eastAsiaTheme="minorEastAsia"/>
                <w:sz w:val="21"/>
                <w:szCs w:val="21"/>
              </w:rPr>
            </w:pPr>
            <w:r>
              <w:rPr>
                <w:rFonts w:hAnsiTheme="minorEastAsia" w:eastAsiaTheme="minorEastAsia"/>
                <w:sz w:val="21"/>
                <w:szCs w:val="21"/>
              </w:rPr>
              <w:t>评价日期：20</w:t>
            </w:r>
            <w:r>
              <w:rPr>
                <w:rFonts w:hint="eastAsia" w:hAnsiTheme="minorEastAsia" w:eastAsiaTheme="minorEastAsia"/>
                <w:sz w:val="21"/>
                <w:szCs w:val="21"/>
              </w:rPr>
              <w:t>2</w:t>
            </w:r>
            <w:r>
              <w:rPr>
                <w:rFonts w:hint="eastAsia" w:hAnsiTheme="minorEastAsia" w:eastAsiaTheme="minorEastAsia"/>
                <w:sz w:val="21"/>
                <w:szCs w:val="21"/>
                <w:lang w:val="en-US" w:eastAsia="zh-CN"/>
              </w:rPr>
              <w:t>2</w:t>
            </w:r>
            <w:r>
              <w:rPr>
                <w:rFonts w:hAnsiTheme="minorEastAsia" w:eastAsiaTheme="minorEastAsia"/>
                <w:sz w:val="21"/>
                <w:szCs w:val="21"/>
              </w:rPr>
              <w:t>年</w:t>
            </w:r>
            <w:r>
              <w:rPr>
                <w:rFonts w:hint="eastAsia" w:hAnsiTheme="minorEastAsia" w:eastAsiaTheme="minorEastAsia"/>
                <w:sz w:val="21"/>
                <w:szCs w:val="21"/>
              </w:rPr>
              <w:t>1</w:t>
            </w:r>
            <w:r>
              <w:rPr>
                <w:rFonts w:hAnsiTheme="minorEastAsia" w:eastAsiaTheme="minorEastAsia"/>
                <w:sz w:val="21"/>
                <w:szCs w:val="21"/>
              </w:rPr>
              <w:t>月</w:t>
            </w:r>
            <w:r>
              <w:rPr>
                <w:rFonts w:hint="eastAsia" w:hAnsiTheme="minorEastAsia" w:eastAsiaTheme="minorEastAsia"/>
                <w:sz w:val="21"/>
                <w:szCs w:val="21"/>
                <w:lang w:val="en-US" w:eastAsia="zh-CN"/>
              </w:rPr>
              <w:t>20</w:t>
            </w:r>
            <w:r>
              <w:rPr>
                <w:rFonts w:hAnsiTheme="minorEastAsia" w:eastAsiaTheme="minorEastAsia"/>
                <w:sz w:val="21"/>
                <w:szCs w:val="21"/>
              </w:rPr>
              <w:t>日。</w:t>
            </w:r>
          </w:p>
          <w:p>
            <w:pPr>
              <w:spacing w:line="360" w:lineRule="auto"/>
              <w:ind w:firstLine="420" w:firstLineChars="200"/>
              <w:rPr>
                <w:rFonts w:hint="eastAsia"/>
                <w:sz w:val="21"/>
                <w:szCs w:val="21"/>
              </w:rPr>
            </w:pPr>
            <w:r>
              <w:rPr>
                <w:rFonts w:hAnsiTheme="minorEastAsia" w:eastAsiaTheme="minorEastAsia"/>
                <w:sz w:val="21"/>
                <w:szCs w:val="21"/>
              </w:rPr>
              <w:t>部门已对有关法规及其他要求进行识别、评价，满足要求。</w:t>
            </w:r>
          </w:p>
        </w:tc>
        <w:tc>
          <w:tcPr>
            <w:tcW w:w="1585" w:type="dxa"/>
            <w:vAlign w:val="top"/>
          </w:tcPr>
          <w:p>
            <w:pPr>
              <w:spacing w:line="360" w:lineRule="auto"/>
              <w:rPr>
                <w:rFonts w:hint="eastAsia"/>
                <w:sz w:val="21"/>
                <w:szCs w:val="21"/>
              </w:rPr>
            </w:pPr>
            <w:r>
              <w:rPr>
                <w:rFonts w:eastAsiaTheme="minor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980" w:type="dxa"/>
            <w:vAlign w:val="center"/>
          </w:tcPr>
          <w:p>
            <w:pPr>
              <w:spacing w:line="360" w:lineRule="auto"/>
              <w:rPr>
                <w:rFonts w:hint="eastAsia" w:ascii="宋体" w:hAnsi="宋体" w:cs="Arial"/>
                <w:spacing w:val="-6"/>
                <w:sz w:val="21"/>
                <w:szCs w:val="21"/>
              </w:rPr>
            </w:pPr>
            <w:r>
              <w:rPr>
                <w:rFonts w:hAnsi="宋体"/>
                <w:sz w:val="21"/>
                <w:szCs w:val="21"/>
              </w:rPr>
              <w:t>监视、测量、分析和评价</w:t>
            </w:r>
          </w:p>
        </w:tc>
        <w:tc>
          <w:tcPr>
            <w:tcW w:w="1140" w:type="dxa"/>
            <w:vAlign w:val="center"/>
          </w:tcPr>
          <w:p>
            <w:pPr>
              <w:tabs>
                <w:tab w:val="left" w:pos="6597"/>
              </w:tabs>
              <w:spacing w:line="360" w:lineRule="auto"/>
              <w:rPr>
                <w:rFonts w:hint="eastAsia" w:ascii="宋体" w:hAnsi="宋体" w:cs="Arial"/>
                <w:spacing w:val="-6"/>
                <w:sz w:val="21"/>
                <w:szCs w:val="21"/>
              </w:rPr>
            </w:pPr>
            <w:r>
              <w:rPr>
                <w:sz w:val="21"/>
                <w:szCs w:val="21"/>
              </w:rPr>
              <w:t>EO9.1.1</w:t>
            </w:r>
          </w:p>
        </w:tc>
        <w:tc>
          <w:tcPr>
            <w:tcW w:w="10004" w:type="dxa"/>
            <w:vAlign w:val="center"/>
          </w:tcPr>
          <w:p>
            <w:pPr>
              <w:snapToGrid w:val="0"/>
              <w:spacing w:line="360" w:lineRule="auto"/>
              <w:ind w:firstLine="420" w:firstLineChars="200"/>
              <w:jc w:val="left"/>
              <w:rPr>
                <w:sz w:val="21"/>
                <w:szCs w:val="21"/>
              </w:rPr>
            </w:pPr>
            <w:r>
              <w:rPr>
                <w:rFonts w:hAnsi="宋体"/>
                <w:sz w:val="21"/>
                <w:szCs w:val="21"/>
              </w:rPr>
              <w:t>管理体系目标考核按季度进行，抽查到</w:t>
            </w:r>
            <w:r>
              <w:rPr>
                <w:sz w:val="21"/>
                <w:szCs w:val="21"/>
              </w:rPr>
              <w:t>202</w:t>
            </w:r>
            <w:r>
              <w:rPr>
                <w:rFonts w:hint="eastAsia"/>
                <w:sz w:val="21"/>
                <w:szCs w:val="21"/>
                <w:lang w:val="en-US" w:eastAsia="zh-CN"/>
              </w:rPr>
              <w:t>2</w:t>
            </w:r>
            <w:r>
              <w:rPr>
                <w:rFonts w:hAnsi="宋体"/>
                <w:sz w:val="21"/>
                <w:szCs w:val="21"/>
              </w:rPr>
              <w:t>年</w:t>
            </w:r>
            <w:r>
              <w:rPr>
                <w:rFonts w:hint="eastAsia"/>
                <w:sz w:val="21"/>
                <w:szCs w:val="21"/>
                <w:lang w:val="en-US" w:eastAsia="zh-CN"/>
              </w:rPr>
              <w:t>4</w:t>
            </w:r>
            <w:r>
              <w:rPr>
                <w:rFonts w:hAnsi="宋体"/>
                <w:sz w:val="21"/>
                <w:szCs w:val="21"/>
              </w:rPr>
              <w:t>月</w:t>
            </w:r>
            <w:r>
              <w:rPr>
                <w:rFonts w:hint="eastAsia"/>
                <w:sz w:val="21"/>
                <w:szCs w:val="21"/>
              </w:rPr>
              <w:t>1</w:t>
            </w:r>
            <w:r>
              <w:rPr>
                <w:rFonts w:hAnsi="宋体"/>
                <w:sz w:val="21"/>
                <w:szCs w:val="21"/>
              </w:rPr>
              <w:t>日目标考核记录，经考核公司和分解各部门管理目标均已完成。</w:t>
            </w:r>
          </w:p>
          <w:p>
            <w:pPr>
              <w:spacing w:line="360" w:lineRule="auto"/>
              <w:ind w:firstLine="420" w:firstLineChars="200"/>
              <w:jc w:val="left"/>
              <w:rPr>
                <w:sz w:val="21"/>
                <w:szCs w:val="21"/>
              </w:rPr>
            </w:pPr>
            <w:r>
              <w:rPr>
                <w:rFonts w:hAnsi="宋体"/>
                <w:sz w:val="21"/>
                <w:szCs w:val="21"/>
              </w:rPr>
              <w:t>查到</w:t>
            </w:r>
            <w:r>
              <w:rPr>
                <w:sz w:val="21"/>
                <w:szCs w:val="21"/>
              </w:rPr>
              <w:t>202</w:t>
            </w:r>
            <w:r>
              <w:rPr>
                <w:rFonts w:hint="eastAsia"/>
                <w:sz w:val="21"/>
                <w:szCs w:val="21"/>
                <w:lang w:val="en-US" w:eastAsia="zh-CN"/>
              </w:rPr>
              <w:t>2</w:t>
            </w:r>
            <w:r>
              <w:rPr>
                <w:rFonts w:hAnsi="宋体"/>
                <w:sz w:val="21"/>
                <w:szCs w:val="21"/>
              </w:rPr>
              <w:t>年</w:t>
            </w:r>
            <w:r>
              <w:rPr>
                <w:rFonts w:hint="eastAsia"/>
                <w:sz w:val="21"/>
                <w:szCs w:val="21"/>
                <w:lang w:val="en-US" w:eastAsia="zh-CN"/>
              </w:rPr>
              <w:t>4</w:t>
            </w:r>
            <w:r>
              <w:rPr>
                <w:rFonts w:hAnsi="宋体"/>
                <w:sz w:val="21"/>
                <w:szCs w:val="21"/>
              </w:rPr>
              <w:t>月</w:t>
            </w:r>
            <w:r>
              <w:rPr>
                <w:rFonts w:hint="eastAsia"/>
                <w:sz w:val="21"/>
                <w:szCs w:val="21"/>
              </w:rPr>
              <w:t>1</w:t>
            </w:r>
            <w:r>
              <w:rPr>
                <w:rFonts w:hAnsi="宋体"/>
                <w:sz w:val="21"/>
                <w:szCs w:val="21"/>
              </w:rPr>
              <w:t>日</w:t>
            </w:r>
            <w:r>
              <w:rPr>
                <w:sz w:val="21"/>
                <w:szCs w:val="21"/>
              </w:rPr>
              <w:t>“</w:t>
            </w:r>
            <w:r>
              <w:rPr>
                <w:rFonts w:hAnsi="宋体"/>
                <w:sz w:val="21"/>
                <w:szCs w:val="21"/>
              </w:rPr>
              <w:t>环境目标、指标</w:t>
            </w:r>
            <w:r>
              <w:rPr>
                <w:sz w:val="21"/>
                <w:szCs w:val="21"/>
              </w:rPr>
              <w:t>/</w:t>
            </w:r>
            <w:r>
              <w:rPr>
                <w:rFonts w:hAnsi="宋体"/>
                <w:sz w:val="21"/>
                <w:szCs w:val="21"/>
              </w:rPr>
              <w:t>职业健康安全目标与管理方案及实施情况一览表</w:t>
            </w:r>
            <w:r>
              <w:rPr>
                <w:sz w:val="21"/>
                <w:szCs w:val="21"/>
              </w:rPr>
              <w:t>”</w:t>
            </w:r>
            <w:r>
              <w:rPr>
                <w:rFonts w:hAnsi="宋体"/>
                <w:sz w:val="21"/>
                <w:szCs w:val="21"/>
              </w:rPr>
              <w:t>，检查考核已完成，考核人</w:t>
            </w:r>
            <w:r>
              <w:rPr>
                <w:rFonts w:hint="eastAsia" w:hAnsi="宋体"/>
                <w:sz w:val="21"/>
                <w:szCs w:val="21"/>
                <w:lang w:val="en-US" w:eastAsia="zh-CN"/>
              </w:rPr>
              <w:t>陈辉明</w:t>
            </w:r>
            <w:r>
              <w:rPr>
                <w:rFonts w:hAnsi="宋体"/>
                <w:sz w:val="21"/>
                <w:szCs w:val="21"/>
              </w:rPr>
              <w:t>、魏东。</w:t>
            </w:r>
          </w:p>
          <w:p>
            <w:pPr>
              <w:spacing w:line="360" w:lineRule="auto"/>
              <w:ind w:firstLine="420" w:firstLineChars="200"/>
              <w:jc w:val="left"/>
              <w:rPr>
                <w:sz w:val="21"/>
                <w:szCs w:val="21"/>
              </w:rPr>
            </w:pPr>
            <w:r>
              <w:rPr>
                <w:rFonts w:hAnsi="宋体"/>
                <w:sz w:val="21"/>
                <w:szCs w:val="21"/>
              </w:rPr>
              <w:t>查到《环境、安全检查记录》，检查项目内容涉及：</w:t>
            </w:r>
          </w:p>
          <w:p>
            <w:pPr>
              <w:spacing w:line="360" w:lineRule="auto"/>
              <w:ind w:firstLine="420" w:firstLineChars="200"/>
              <w:jc w:val="left"/>
              <w:rPr>
                <w:sz w:val="21"/>
                <w:szCs w:val="21"/>
              </w:rPr>
            </w:pPr>
            <w:r>
              <w:rPr>
                <w:rFonts w:hAnsi="宋体"/>
                <w:sz w:val="21"/>
                <w:szCs w:val="21"/>
              </w:rPr>
              <w:t>加工</w:t>
            </w:r>
            <w:r>
              <w:rPr>
                <w:sz w:val="21"/>
                <w:szCs w:val="21"/>
              </w:rPr>
              <w:t>/</w:t>
            </w:r>
            <w:r>
              <w:rPr>
                <w:rFonts w:hAnsi="宋体"/>
                <w:sz w:val="21"/>
                <w:szCs w:val="21"/>
              </w:rPr>
              <w:t>办公</w:t>
            </w:r>
            <w:r>
              <w:rPr>
                <w:sz w:val="21"/>
                <w:szCs w:val="21"/>
              </w:rPr>
              <w:t>/</w:t>
            </w:r>
            <w:r>
              <w:rPr>
                <w:rFonts w:hAnsi="宋体"/>
                <w:sz w:val="21"/>
                <w:szCs w:val="21"/>
              </w:rPr>
              <w:t>生活区域卫生是否清理干净，危废收集情况；操作工是否配戴劳保用品情况；设备操作工是否按设备操作规程作业；电工是否持证上岗；生产安全用电情况：用电是否有乱搭线现象？接地保护是否完好；消防设施是否完好，消防通道是否畅通等。</w:t>
            </w:r>
          </w:p>
          <w:p>
            <w:pPr>
              <w:spacing w:line="360" w:lineRule="auto"/>
              <w:ind w:firstLine="420" w:firstLineChars="200"/>
              <w:jc w:val="left"/>
              <w:rPr>
                <w:sz w:val="21"/>
                <w:szCs w:val="21"/>
              </w:rPr>
            </w:pPr>
            <w:r>
              <w:rPr>
                <w:rFonts w:hAnsi="宋体"/>
                <w:sz w:val="21"/>
                <w:szCs w:val="21"/>
              </w:rPr>
              <w:t>抽查</w:t>
            </w:r>
            <w:r>
              <w:rPr>
                <w:rFonts w:hint="eastAsia" w:hAnsi="宋体"/>
                <w:sz w:val="21"/>
                <w:szCs w:val="21"/>
              </w:rPr>
              <w:t>202</w:t>
            </w:r>
            <w:r>
              <w:rPr>
                <w:rFonts w:hint="eastAsia" w:hAnsi="宋体"/>
                <w:sz w:val="21"/>
                <w:szCs w:val="21"/>
                <w:lang w:val="en-US" w:eastAsia="zh-CN"/>
              </w:rPr>
              <w:t>2</w:t>
            </w:r>
            <w:r>
              <w:rPr>
                <w:rFonts w:hint="eastAsia" w:hAnsi="宋体"/>
                <w:sz w:val="21"/>
                <w:szCs w:val="21"/>
              </w:rPr>
              <w:t>年1月-</w:t>
            </w:r>
            <w:r>
              <w:rPr>
                <w:rFonts w:hint="eastAsia" w:hAnsi="宋体"/>
                <w:sz w:val="21"/>
                <w:szCs w:val="21"/>
                <w:lang w:val="en-US" w:eastAsia="zh-CN"/>
              </w:rPr>
              <w:t>3</w:t>
            </w:r>
            <w:r>
              <w:rPr>
                <w:rFonts w:hint="eastAsia" w:hAnsi="宋体"/>
                <w:sz w:val="21"/>
                <w:szCs w:val="21"/>
              </w:rPr>
              <w:t>月</w:t>
            </w:r>
            <w:r>
              <w:rPr>
                <w:rFonts w:hAnsi="宋体"/>
                <w:sz w:val="21"/>
                <w:szCs w:val="21"/>
              </w:rPr>
              <w:t>检查结果均正常。检查人魏东、黄刚强</w:t>
            </w:r>
          </w:p>
          <w:p>
            <w:pPr>
              <w:spacing w:line="360" w:lineRule="auto"/>
              <w:ind w:firstLine="420" w:firstLineChars="200"/>
              <w:jc w:val="left"/>
              <w:rPr>
                <w:sz w:val="21"/>
                <w:szCs w:val="21"/>
              </w:rPr>
            </w:pPr>
            <w:r>
              <w:rPr>
                <w:rFonts w:hAnsi="宋体"/>
                <w:sz w:val="21"/>
                <w:szCs w:val="21"/>
              </w:rPr>
              <w:t>查到</w:t>
            </w:r>
            <w:r>
              <w:rPr>
                <w:sz w:val="21"/>
                <w:szCs w:val="21"/>
              </w:rPr>
              <w:t>“</w:t>
            </w:r>
            <w:r>
              <w:rPr>
                <w:rFonts w:hAnsi="宋体"/>
                <w:sz w:val="21"/>
                <w:szCs w:val="21"/>
              </w:rPr>
              <w:t>消防安全检查表</w:t>
            </w:r>
            <w:r>
              <w:rPr>
                <w:sz w:val="21"/>
                <w:szCs w:val="21"/>
              </w:rPr>
              <w:t>”</w:t>
            </w:r>
            <w:r>
              <w:rPr>
                <w:rFonts w:hAnsi="宋体"/>
                <w:sz w:val="21"/>
                <w:szCs w:val="21"/>
              </w:rPr>
              <w:t>，检查项目内容涉及：</w:t>
            </w:r>
          </w:p>
          <w:p>
            <w:pPr>
              <w:spacing w:line="360" w:lineRule="auto"/>
              <w:ind w:firstLine="420" w:firstLineChars="200"/>
              <w:jc w:val="left"/>
              <w:rPr>
                <w:color w:val="0000FF"/>
                <w:sz w:val="21"/>
                <w:szCs w:val="21"/>
              </w:rPr>
            </w:pPr>
            <w:r>
              <w:rPr>
                <w:rFonts w:hAnsi="宋体"/>
                <w:sz w:val="21"/>
                <w:szCs w:val="21"/>
              </w:rPr>
              <w:t>消防安全制度的建立、消防安全管理、建筑物消防管理、建筑消防设施管理、现场管理、火灾隐患的整改情况等。每月检查结果均正常。检查人</w:t>
            </w:r>
            <w:r>
              <w:rPr>
                <w:rFonts w:hAnsi="宋体"/>
                <w:color w:val="000000"/>
                <w:kern w:val="0"/>
                <w:sz w:val="21"/>
                <w:szCs w:val="21"/>
              </w:rPr>
              <w:t>魏东</w:t>
            </w:r>
          </w:p>
          <w:p>
            <w:pPr>
              <w:pStyle w:val="3"/>
              <w:spacing w:line="360" w:lineRule="auto"/>
              <w:ind w:firstLine="420"/>
            </w:pPr>
            <w:r>
              <w:rPr>
                <w:rFonts w:hint="eastAsia"/>
              </w:rPr>
              <w:t>提供三废“检测报告”，对废水、厂界噪声、有组织废气、无组织废气的排放浓度进行了检测；江西</w:t>
            </w:r>
            <w:r>
              <w:rPr>
                <w:rFonts w:hint="eastAsia"/>
                <w:lang w:val="en-US" w:eastAsia="zh-CN"/>
              </w:rPr>
              <w:t>祥逸</w:t>
            </w:r>
            <w:r>
              <w:rPr>
                <w:rFonts w:hint="eastAsia"/>
              </w:rPr>
              <w:t>检测</w:t>
            </w:r>
            <w:r>
              <w:rPr>
                <w:rFonts w:hint="eastAsia"/>
                <w:lang w:val="en-US" w:eastAsia="zh-CN"/>
              </w:rPr>
              <w:t>技术</w:t>
            </w:r>
            <w:r>
              <w:rPr>
                <w:rFonts w:hint="eastAsia"/>
              </w:rPr>
              <w:t>有限公司出具，202</w:t>
            </w:r>
            <w:r>
              <w:rPr>
                <w:rFonts w:hint="eastAsia"/>
                <w:lang w:val="en-US" w:eastAsia="zh-CN"/>
              </w:rPr>
              <w:t>1</w:t>
            </w:r>
            <w:r>
              <w:rPr>
                <w:rFonts w:hint="eastAsia"/>
              </w:rPr>
              <w:t>.</w:t>
            </w:r>
            <w:r>
              <w:rPr>
                <w:rFonts w:hint="eastAsia"/>
                <w:lang w:val="en-US" w:eastAsia="zh-CN"/>
              </w:rPr>
              <w:t>12</w:t>
            </w:r>
            <w:r>
              <w:rPr>
                <w:rFonts w:hint="eastAsia"/>
              </w:rPr>
              <w:t>.</w:t>
            </w:r>
            <w:r>
              <w:rPr>
                <w:rFonts w:hint="eastAsia"/>
                <w:lang w:val="en-US" w:eastAsia="zh-CN"/>
              </w:rPr>
              <w:t>9</w:t>
            </w:r>
            <w:r>
              <w:rPr>
                <w:rFonts w:hint="eastAsia"/>
              </w:rPr>
              <w:t>；</w:t>
            </w:r>
          </w:p>
          <w:p>
            <w:pPr>
              <w:tabs>
                <w:tab w:val="center" w:pos="4535"/>
                <w:tab w:val="left" w:pos="7128"/>
              </w:tabs>
              <w:adjustRightInd w:val="0"/>
              <w:spacing w:line="288" w:lineRule="auto"/>
              <w:ind w:firstLine="420" w:firstLineChars="200"/>
              <w:textAlignment w:val="baseline"/>
              <w:rPr>
                <w:sz w:val="21"/>
                <w:szCs w:val="21"/>
              </w:rPr>
            </w:pPr>
            <w:r>
              <w:rPr>
                <w:rFonts w:hint="eastAsia" w:hAnsiTheme="minorEastAsia" w:eastAsiaTheme="minorEastAsia"/>
                <w:sz w:val="21"/>
                <w:szCs w:val="21"/>
                <w:lang w:val="en-US" w:eastAsia="zh-CN"/>
              </w:rPr>
              <w:t>提供了员工体检报告，公司于2021年11月10日为24名员工在丰城普惠健康体检管理公司进行了职业健康检查。</w:t>
            </w:r>
            <w:r>
              <w:rPr>
                <w:rFonts w:hAnsi="宋体"/>
                <w:sz w:val="21"/>
                <w:szCs w:val="21"/>
              </w:rPr>
              <w:t>，体检结果：无异常，可从事本岗位工作。</w:t>
            </w:r>
          </w:p>
          <w:p>
            <w:pPr>
              <w:spacing w:line="360" w:lineRule="auto"/>
              <w:ind w:firstLine="420" w:firstLineChars="200"/>
              <w:rPr>
                <w:sz w:val="21"/>
                <w:szCs w:val="21"/>
              </w:rPr>
            </w:pPr>
            <w:r>
              <w:rPr>
                <w:rFonts w:hAnsi="宋体"/>
                <w:sz w:val="21"/>
                <w:szCs w:val="21"/>
              </w:rPr>
              <w:t>公司经营能遵守相关的法律法规，没有违反环境、职业健康安全法律法规现象，近期没有发生环境与职业健康安全的事故。</w:t>
            </w:r>
          </w:p>
          <w:p>
            <w:pPr>
              <w:snapToGrid w:val="0"/>
              <w:spacing w:line="360" w:lineRule="auto"/>
              <w:ind w:firstLine="420" w:firstLineChars="200"/>
              <w:jc w:val="left"/>
              <w:rPr>
                <w:rFonts w:hint="eastAsia"/>
                <w:sz w:val="21"/>
                <w:szCs w:val="21"/>
              </w:rPr>
            </w:pPr>
            <w:r>
              <w:rPr>
                <w:rFonts w:hAnsi="宋体"/>
                <w:sz w:val="21"/>
                <w:szCs w:val="21"/>
              </w:rPr>
              <w:t>未有上级主管部门的监督检查。</w:t>
            </w:r>
          </w:p>
        </w:tc>
        <w:tc>
          <w:tcPr>
            <w:tcW w:w="1585" w:type="dxa"/>
            <w:vAlign w:val="top"/>
          </w:tcPr>
          <w:p>
            <w:pPr>
              <w:spacing w:line="360" w:lineRule="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980" w:type="dxa"/>
          </w:tcPr>
          <w:p>
            <w:pPr>
              <w:spacing w:line="360" w:lineRule="auto"/>
              <w:rPr>
                <w:color w:val="0000FF"/>
              </w:rPr>
            </w:pPr>
            <w:r>
              <w:rPr>
                <w:rFonts w:hint="eastAsia"/>
              </w:rPr>
              <w:t>内部审核</w:t>
            </w:r>
          </w:p>
        </w:tc>
        <w:tc>
          <w:tcPr>
            <w:tcW w:w="1140" w:type="dxa"/>
          </w:tcPr>
          <w:p>
            <w:pPr>
              <w:spacing w:line="360" w:lineRule="auto"/>
              <w:jc w:val="center"/>
              <w:rPr>
                <w:rFonts w:ascii="宋体" w:hAnsi="宋体" w:cs="Arial"/>
                <w:spacing w:val="-6"/>
                <w:szCs w:val="21"/>
              </w:rPr>
            </w:pPr>
            <w:r>
              <w:rPr>
                <w:rFonts w:hint="eastAsia" w:ascii="宋体" w:hAnsi="宋体" w:cs="Arial"/>
                <w:spacing w:val="-6"/>
                <w:szCs w:val="21"/>
              </w:rPr>
              <w:t>QEO:9.2</w:t>
            </w:r>
          </w:p>
          <w:p>
            <w:pPr>
              <w:pStyle w:val="3"/>
              <w:spacing w:line="360" w:lineRule="auto"/>
              <w:ind w:firstLine="0" w:firstLineChars="0"/>
              <w:jc w:val="center"/>
            </w:pPr>
            <w:r>
              <w:rPr>
                <w:rFonts w:hint="eastAsia" w:ascii="宋体" w:hAnsi="宋体" w:cs="Arial"/>
                <w:spacing w:val="-6"/>
                <w:szCs w:val="21"/>
              </w:rPr>
              <w:t>10.2</w:t>
            </w:r>
          </w:p>
        </w:tc>
        <w:tc>
          <w:tcPr>
            <w:tcW w:w="10004" w:type="dxa"/>
          </w:tcPr>
          <w:p>
            <w:pPr>
              <w:spacing w:line="360" w:lineRule="auto"/>
              <w:ind w:firstLine="420" w:firstLineChars="200"/>
            </w:pPr>
            <w:r>
              <w:rPr>
                <w:rFonts w:hint="eastAsia"/>
              </w:rPr>
              <w:t>制定有《内部审核程序》，有效文件，无变化；</w:t>
            </w:r>
          </w:p>
          <w:p>
            <w:pPr>
              <w:spacing w:line="360" w:lineRule="auto"/>
              <w:ind w:firstLine="420" w:firstLineChars="200"/>
            </w:pPr>
            <w:r>
              <w:rPr>
                <w:rFonts w:hint="eastAsia"/>
                <w:szCs w:val="21"/>
              </w:rPr>
              <w:t>202</w:t>
            </w:r>
            <w:r>
              <w:rPr>
                <w:rFonts w:hint="eastAsia"/>
                <w:szCs w:val="21"/>
                <w:lang w:val="en-US" w:eastAsia="zh-CN"/>
              </w:rPr>
              <w:t>2</w:t>
            </w:r>
            <w:r>
              <w:rPr>
                <w:rFonts w:hint="eastAsia"/>
                <w:szCs w:val="21"/>
              </w:rPr>
              <w:t>年3月</w:t>
            </w:r>
            <w:r>
              <w:rPr>
                <w:rFonts w:hint="eastAsia"/>
                <w:szCs w:val="21"/>
                <w:lang w:val="en-US" w:eastAsia="zh-CN"/>
              </w:rPr>
              <w:t>7-8</w:t>
            </w:r>
            <w:r>
              <w:rPr>
                <w:rFonts w:hint="eastAsia"/>
                <w:szCs w:val="21"/>
              </w:rPr>
              <w:t>日</w:t>
            </w:r>
            <w:r>
              <w:rPr>
                <w:rFonts w:hint="eastAsia"/>
              </w:rPr>
              <w:t>对贯标的各职能部门、生产单位进行内部审核，保留了内审计划、内审记录、不符合报告、内审报告；</w:t>
            </w:r>
          </w:p>
          <w:p>
            <w:pPr>
              <w:spacing w:line="360" w:lineRule="auto"/>
              <w:ind w:firstLine="420" w:firstLineChars="200"/>
            </w:pPr>
            <w:r>
              <w:rPr>
                <w:rFonts w:hint="eastAsia"/>
              </w:rPr>
              <w:t>内审覆盖了管理体系范围内的活动及标准的要求；</w:t>
            </w:r>
          </w:p>
          <w:p>
            <w:pPr>
              <w:spacing w:line="360" w:lineRule="auto"/>
              <w:ind w:firstLine="420" w:firstLineChars="200"/>
            </w:pPr>
            <w:r>
              <w:rPr>
                <w:rFonts w:hint="eastAsia"/>
              </w:rPr>
              <w:t>内审结论为：三体系运行基本良好，运行达到一定的效果，基本符合ISO9001:2015；ISO14001:2015；ISO45001:2018标准的要求，但仍存在不足，各部门应举一反三，对类似问题予以整改。</w:t>
            </w:r>
          </w:p>
          <w:p>
            <w:pPr>
              <w:pStyle w:val="3"/>
              <w:spacing w:line="360" w:lineRule="auto"/>
              <w:ind w:firstLine="420"/>
            </w:pPr>
            <w:r>
              <w:rPr>
                <w:rFonts w:hint="eastAsia"/>
              </w:rPr>
              <w:t>保持《不符合、纠正和预防措施控制程序》、《事故调查处理控制程序》，有效文件，无变化；</w:t>
            </w:r>
          </w:p>
          <w:p>
            <w:pPr>
              <w:spacing w:line="360" w:lineRule="auto"/>
              <w:ind w:firstLine="420" w:firstLineChars="200"/>
            </w:pPr>
            <w:r>
              <w:rPr>
                <w:rFonts w:hint="eastAsia"/>
              </w:rPr>
              <w:t>本次内审开具一份不符合项报告，进行了不合格原因分析，制定并实施了纠正措施，进行了效果验证。</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tcPr>
          <w:p>
            <w:pPr>
              <w:spacing w:line="360" w:lineRule="auto"/>
            </w:pPr>
            <w:r>
              <w:rPr>
                <w:rFonts w:hint="eastAsia" w:ascii="宋体" w:hAnsi="宋体" w:cs="Arial"/>
                <w:spacing w:val="-6"/>
                <w:szCs w:val="21"/>
              </w:rPr>
              <w:t>应急管理</w:t>
            </w:r>
          </w:p>
        </w:tc>
        <w:tc>
          <w:tcPr>
            <w:tcW w:w="1140" w:type="dxa"/>
          </w:tcPr>
          <w:p>
            <w:pPr>
              <w:spacing w:line="360" w:lineRule="auto"/>
              <w:jc w:val="center"/>
              <w:rPr>
                <w:rFonts w:ascii="宋体" w:hAnsi="宋体" w:cs="Arial"/>
                <w:spacing w:val="-6"/>
                <w:szCs w:val="21"/>
              </w:rPr>
            </w:pPr>
            <w:r>
              <w:rPr>
                <w:rFonts w:hint="eastAsia" w:ascii="宋体" w:hAnsi="宋体" w:cs="Arial"/>
                <w:spacing w:val="-6"/>
                <w:szCs w:val="21"/>
              </w:rPr>
              <w:t>EO:8.2</w:t>
            </w:r>
          </w:p>
        </w:tc>
        <w:tc>
          <w:tcPr>
            <w:tcW w:w="10004" w:type="dxa"/>
          </w:tcPr>
          <w:p>
            <w:pPr>
              <w:spacing w:line="360" w:lineRule="auto"/>
              <w:ind w:firstLine="420" w:firstLineChars="200"/>
            </w:pPr>
            <w:r>
              <w:rPr>
                <w:rFonts w:hint="eastAsia"/>
              </w:rPr>
              <w:t>参加由生产部组织的演练，详见生产部记录。</w:t>
            </w:r>
          </w:p>
        </w:tc>
        <w:tc>
          <w:tcPr>
            <w:tcW w:w="1585" w:type="dxa"/>
          </w:tcPr>
          <w:p>
            <w:pPr>
              <w:spacing w:line="360" w:lineRule="auto"/>
            </w:pPr>
            <w:r>
              <w:rPr>
                <w:rFonts w:hint="eastAsia"/>
              </w:rPr>
              <w:t>Y</w:t>
            </w:r>
          </w:p>
        </w:tc>
      </w:tr>
    </w:tbl>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1027" o:spid="_x0000_s102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71F43"/>
    <w:rsid w:val="00071F43"/>
    <w:rsid w:val="00316B31"/>
    <w:rsid w:val="00EF3292"/>
    <w:rsid w:val="16803A30"/>
    <w:rsid w:val="255F40BC"/>
    <w:rsid w:val="2A524930"/>
    <w:rsid w:val="30D639C8"/>
    <w:rsid w:val="37AB2DC7"/>
    <w:rsid w:val="41495ED3"/>
    <w:rsid w:val="4ACF0E85"/>
    <w:rsid w:val="57E811F9"/>
    <w:rsid w:val="59EE73CF"/>
    <w:rsid w:val="623B68EB"/>
    <w:rsid w:val="62525022"/>
    <w:rsid w:val="64647F70"/>
    <w:rsid w:val="65F814BB"/>
    <w:rsid w:val="68DA78C4"/>
    <w:rsid w:val="6952544E"/>
    <w:rsid w:val="6D40452B"/>
    <w:rsid w:val="728F3F70"/>
    <w:rsid w:val="79A374AF"/>
    <w:rsid w:val="7A7E6F3E"/>
    <w:rsid w:val="7BAB2316"/>
    <w:rsid w:val="7BFB58B8"/>
    <w:rsid w:val="7E3F6111"/>
    <w:rsid w:val="7E9F38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semiHidden/>
    <w:unhideWhenUsed/>
    <w:qFormat/>
    <w:uiPriority w:val="99"/>
    <w:pPr>
      <w:ind w:firstLine="720" w:firstLineChars="20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5805</Words>
  <Characters>6364</Characters>
  <Lines>29</Lines>
  <Paragraphs>8</Paragraphs>
  <TotalTime>0</TotalTime>
  <ScaleCrop>false</ScaleCrop>
  <LinksUpToDate>false</LinksUpToDate>
  <CharactersWithSpaces>6401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2022-04-20T01:34:23Z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4D46AB7CB77147C18AA2A937B7FD676C</vt:lpwstr>
  </property>
</Properties>
</file>