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drawing>
          <wp:anchor distT="0" distB="0" distL="114300" distR="114300" simplePos="0" relativeHeight="251659264" behindDoc="0" locked="0" layoutInCell="1" allowOverlap="1">
            <wp:simplePos x="0" y="0"/>
            <wp:positionH relativeFrom="column">
              <wp:posOffset>1898650</wp:posOffset>
            </wp:positionH>
            <wp:positionV relativeFrom="paragraph">
              <wp:posOffset>17780</wp:posOffset>
            </wp:positionV>
            <wp:extent cx="1590675" cy="1590675"/>
            <wp:effectExtent l="0" t="0" r="9525" b="9525"/>
            <wp:wrapNone/>
            <wp:docPr id="5"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LOGO"/>
                    <pic:cNvPicPr>
                      <a:picLocks noChangeAspect="1"/>
                    </pic:cNvPicPr>
                  </pic:nvPicPr>
                  <pic:blipFill>
                    <a:blip r:embed="rId5"/>
                    <a:stretch>
                      <a:fillRect/>
                    </a:stretch>
                  </pic:blipFill>
                  <pic:spPr>
                    <a:xfrm>
                      <a:off x="0" y="0"/>
                      <a:ext cx="1590675" cy="1590675"/>
                    </a:xfrm>
                    <a:prstGeom prst="rect">
                      <a:avLst/>
                    </a:prstGeom>
                    <a:noFill/>
                    <a:ln>
                      <a:noFill/>
                    </a:ln>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60" w:firstLineChars="300"/>
        <w:jc w:val="left"/>
        <w:rPr>
          <w:rFonts w:hint="eastAsia" w:ascii="宋体" w:hAnsi="宋体" w:eastAsiaTheme="minorEastAsia"/>
          <w:b w:val="0"/>
          <w:bCs w:val="0"/>
          <w:sz w:val="24"/>
          <w:szCs w:val="24"/>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4"/>
          <w:szCs w:val="24"/>
          <w:u w:val="single"/>
          <w:lang w:eastAsia="zh-CN"/>
        </w:rPr>
        <w:t>淄博海源电子科技有限公司</w:t>
      </w:r>
    </w:p>
    <w:p>
      <w:pPr>
        <w:spacing w:line="360" w:lineRule="auto"/>
        <w:ind w:firstLine="960" w:firstLineChars="200"/>
        <w:jc w:val="left"/>
        <w:rPr>
          <w:rFonts w:hint="eastAsia"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0281</w:t>
      </w:r>
      <w:r>
        <w:rPr>
          <w:rFonts w:hint="eastAsia" w:ascii="宋体" w:hAnsi="宋体"/>
          <w:sz w:val="32"/>
          <w:u w:val="single"/>
        </w:rPr>
        <w:t>-2</w:t>
      </w:r>
      <w:r>
        <w:rPr>
          <w:rFonts w:hint="eastAsia" w:ascii="宋体" w:hAnsi="宋体"/>
          <w:sz w:val="32"/>
          <w:u w:val="single"/>
          <w:lang w:val="en-US" w:eastAsia="zh-CN"/>
        </w:rPr>
        <w:t>021</w:t>
      </w:r>
      <w:r>
        <w:rPr>
          <w:rFonts w:hint="eastAsia" w:ascii="宋体" w:hAnsi="宋体"/>
          <w:sz w:val="32"/>
          <w:u w:val="single"/>
        </w:rPr>
        <w:t>-202</w:t>
      </w:r>
      <w:bookmarkEnd w:id="1"/>
      <w:r>
        <w:rPr>
          <w:rFonts w:hint="eastAsia" w:ascii="宋体" w:hAnsi="宋体"/>
          <w:sz w:val="32"/>
          <w:u w:val="single"/>
          <w:lang w:val="en-US" w:eastAsia="zh-CN"/>
        </w:rPr>
        <w:t>2</w:t>
      </w:r>
    </w:p>
    <w:p>
      <w:pPr>
        <w:spacing w:line="360" w:lineRule="auto"/>
        <w:ind w:firstLine="960" w:firstLineChars="2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281</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21</w:t>
      </w:r>
      <w:r>
        <w:rPr>
          <w:rFonts w:ascii="Times New Roman" w:hAnsi="Times New Roman" w:eastAsia="宋体" w:cs="Times New Roman"/>
          <w:bCs/>
          <w:kern w:val="0"/>
          <w:sz w:val="18"/>
          <w:szCs w:val="18"/>
          <w:u w:val="single"/>
        </w:rPr>
        <w:t>-202</w:t>
      </w:r>
      <w:bookmarkEnd w:id="2"/>
      <w:r>
        <w:rPr>
          <w:rFonts w:hint="eastAsia" w:ascii="Times New Roman" w:hAnsi="Times New Roman" w:eastAsia="宋体" w:cs="Times New Roman"/>
          <w:bCs/>
          <w:kern w:val="0"/>
          <w:sz w:val="18"/>
          <w:szCs w:val="18"/>
          <w:u w:val="single"/>
          <w:lang w:val="en-US" w:eastAsia="zh-CN"/>
        </w:rPr>
        <w:t>2</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4020"/>
        <w:gridCol w:w="1650"/>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5"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rPr>
            </w:pPr>
            <w:r>
              <w:rPr>
                <w:rFonts w:hint="eastAsia" w:ascii="宋体" w:hAnsi="宋体" w:cs="宋体"/>
                <w:bCs/>
                <w:kern w:val="0"/>
                <w:szCs w:val="21"/>
              </w:rPr>
              <w:t>企业</w:t>
            </w:r>
            <w:r>
              <w:rPr>
                <w:rFonts w:hint="eastAsia" w:ascii="宋体" w:hAnsi="宋体" w:cs="宋体"/>
                <w:kern w:val="0"/>
                <w:szCs w:val="21"/>
              </w:rPr>
              <w:t>名称</w:t>
            </w:r>
          </w:p>
        </w:tc>
        <w:tc>
          <w:tcPr>
            <w:tcW w:w="4020" w:type="dxa"/>
            <w:vAlign w:val="top"/>
          </w:tcPr>
          <w:p>
            <w:pPr>
              <w:tabs>
                <w:tab w:val="left" w:pos="880"/>
              </w:tabs>
              <w:autoSpaceDE w:val="0"/>
              <w:autoSpaceDN w:val="0"/>
              <w:adjustRightInd w:val="0"/>
              <w:spacing w:before="35" w:line="276" w:lineRule="auto"/>
              <w:ind w:right="161" w:rightChars="0"/>
              <w:rPr>
                <w:rFonts w:hint="eastAsia" w:cs="宋体" w:asciiTheme="minorEastAsia" w:hAnsiTheme="minorEastAsia" w:eastAsiaTheme="minorEastAsia"/>
                <w:kern w:val="0"/>
                <w:sz w:val="21"/>
                <w:szCs w:val="21"/>
                <w:lang w:eastAsia="zh-CN"/>
              </w:rPr>
            </w:pPr>
            <w:r>
              <w:rPr>
                <w:rFonts w:hint="eastAsia" w:eastAsia="宋体"/>
                <w:b/>
                <w:color w:val="000000"/>
                <w:szCs w:val="21"/>
                <w:lang w:eastAsia="zh-CN"/>
              </w:rPr>
              <w:t>淄博海源电子科技有限公司</w:t>
            </w:r>
          </w:p>
        </w:tc>
        <w:tc>
          <w:tcPr>
            <w:tcW w:w="165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rPr>
            </w:pPr>
            <w:r>
              <w:rPr>
                <w:rFonts w:hint="eastAsia" w:ascii="宋体" w:hAnsi="宋体" w:cs="宋体"/>
                <w:kern w:val="0"/>
                <w:szCs w:val="21"/>
              </w:rPr>
              <w:t>企业联系人</w:t>
            </w:r>
          </w:p>
        </w:tc>
        <w:tc>
          <w:tcPr>
            <w:tcW w:w="2339" w:type="dxa"/>
            <w:vAlign w:val="top"/>
          </w:tcPr>
          <w:p>
            <w:pPr>
              <w:tabs>
                <w:tab w:val="left" w:pos="880"/>
              </w:tabs>
              <w:autoSpaceDE w:val="0"/>
              <w:autoSpaceDN w:val="0"/>
              <w:adjustRightInd w:val="0"/>
              <w:spacing w:before="35" w:line="360" w:lineRule="auto"/>
              <w:ind w:right="161" w:rightChars="0" w:firstLine="210" w:firstLineChars="100"/>
              <w:rPr>
                <w:rFonts w:hint="default" w:cs="宋体" w:asciiTheme="minorEastAsia" w:hAnsiTheme="minorEastAsia" w:eastAsiaTheme="minorEastAsia"/>
                <w:kern w:val="0"/>
                <w:sz w:val="21"/>
                <w:szCs w:val="21"/>
                <w:lang w:val="en-US" w:eastAsia="zh-CN"/>
              </w:rPr>
            </w:pPr>
            <w:bookmarkStart w:id="3" w:name="联系人"/>
            <w:r>
              <w:rPr>
                <w:color w:val="000000"/>
                <w:szCs w:val="21"/>
              </w:rPr>
              <w:t>宁艳玲</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65"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ascii="宋体" w:hAnsi="宋体" w:cs="宋体"/>
                <w:kern w:val="0"/>
                <w:szCs w:val="21"/>
              </w:rPr>
              <w:t>认证证书编号</w:t>
            </w:r>
          </w:p>
        </w:tc>
        <w:tc>
          <w:tcPr>
            <w:tcW w:w="4020" w:type="dxa"/>
            <w:vAlign w:val="top"/>
          </w:tcPr>
          <w:p>
            <w:pPr>
              <w:jc w:val="center"/>
              <w:rPr>
                <w:rFonts w:hint="default" w:asciiTheme="minorEastAsia" w:hAnsiTheme="minorEastAsia" w:eastAsiaTheme="minorEastAsia"/>
                <w:sz w:val="21"/>
                <w:szCs w:val="21"/>
                <w:highlight w:val="none"/>
                <w:lang w:val="en-US" w:eastAsia="zh-CN"/>
              </w:rPr>
            </w:pPr>
            <w:r>
              <w:rPr>
                <w:rFonts w:ascii="宋体" w:hAnsi="宋体"/>
              </w:rPr>
              <w:t>ISC</w:t>
            </w:r>
            <w:r>
              <w:rPr>
                <w:rFonts w:hint="eastAsia" w:ascii="宋体" w:hAnsi="宋体"/>
                <w:lang w:val="en-US" w:eastAsia="zh-CN"/>
              </w:rPr>
              <w:t>-</w:t>
            </w:r>
            <w:r>
              <w:rPr>
                <w:rFonts w:ascii="宋体" w:hAnsi="宋体"/>
              </w:rPr>
              <w:t>20</w:t>
            </w:r>
            <w:r>
              <w:rPr>
                <w:rFonts w:hint="eastAsia" w:ascii="宋体" w:hAnsi="宋体"/>
                <w:lang w:val="en-US" w:eastAsia="zh-CN"/>
              </w:rPr>
              <w:t>20</w:t>
            </w:r>
            <w:r>
              <w:rPr>
                <w:rFonts w:ascii="宋体" w:hAnsi="宋体"/>
              </w:rPr>
              <w:t>-</w:t>
            </w:r>
            <w:r>
              <w:rPr>
                <w:rFonts w:hint="eastAsia" w:ascii="宋体" w:hAnsi="宋体"/>
                <w:lang w:val="en-US" w:eastAsia="zh-CN"/>
              </w:rPr>
              <w:t>0722</w:t>
            </w:r>
          </w:p>
        </w:tc>
        <w:tc>
          <w:tcPr>
            <w:tcW w:w="1650" w:type="dxa"/>
            <w:vAlign w:val="top"/>
          </w:tcPr>
          <w:p>
            <w:pPr>
              <w:rPr>
                <w:rFonts w:cs="宋体" w:asciiTheme="minorEastAsia" w:hAnsiTheme="minorEastAsia"/>
                <w:kern w:val="0"/>
                <w:sz w:val="21"/>
                <w:szCs w:val="21"/>
                <w:highlight w:val="none"/>
              </w:rPr>
            </w:pPr>
            <w:r>
              <w:rPr>
                <w:rFonts w:hint="eastAsia" w:ascii="宋体" w:hAnsi="宋体"/>
              </w:rPr>
              <w:t>证书有效期</w:t>
            </w:r>
          </w:p>
        </w:tc>
        <w:tc>
          <w:tcPr>
            <w:tcW w:w="2339" w:type="dxa"/>
            <w:vAlign w:val="top"/>
          </w:tcPr>
          <w:p>
            <w:pPr>
              <w:rPr>
                <w:rFonts w:hint="default" w:cs="宋体" w:asciiTheme="minorEastAsia" w:hAnsiTheme="minorEastAsia" w:eastAsiaTheme="minorEastAsia"/>
                <w:kern w:val="0"/>
                <w:sz w:val="21"/>
                <w:szCs w:val="21"/>
                <w:highlight w:val="none"/>
                <w:lang w:val="en-US" w:eastAsia="zh-CN"/>
              </w:rPr>
            </w:pPr>
            <w:r>
              <w:rPr>
                <w:rFonts w:ascii="宋体" w:hAnsi="宋体"/>
              </w:rPr>
              <w:t>202</w:t>
            </w:r>
            <w:r>
              <w:rPr>
                <w:rFonts w:hint="eastAsia" w:ascii="宋体" w:hAnsi="宋体"/>
                <w:lang w:val="en-US" w:eastAsia="zh-CN"/>
              </w:rPr>
              <w:t>6</w:t>
            </w:r>
            <w:r>
              <w:rPr>
                <w:rFonts w:hint="eastAsia" w:ascii="宋体" w:hAnsi="宋体"/>
              </w:rPr>
              <w:t>年</w:t>
            </w:r>
            <w:r>
              <w:rPr>
                <w:rFonts w:hint="eastAsia" w:ascii="宋体" w:hAnsi="宋体"/>
                <w:lang w:val="en-US" w:eastAsia="zh-CN"/>
              </w:rPr>
              <w:t>04</w:t>
            </w:r>
            <w:r>
              <w:rPr>
                <w:rFonts w:hint="eastAsia" w:ascii="宋体" w:hAnsi="宋体"/>
                <w:highlight w:val="none"/>
              </w:rPr>
              <w:t>月</w:t>
            </w:r>
            <w:r>
              <w:rPr>
                <w:rFonts w:ascii="宋体" w:hAnsi="宋体"/>
                <w:highlight w:val="none"/>
              </w:rPr>
              <w:t xml:space="preserve"> </w:t>
            </w:r>
            <w:r>
              <w:rPr>
                <w:rFonts w:hint="eastAsia" w:ascii="宋体" w:hAnsi="宋体"/>
                <w:highlight w:val="none"/>
                <w:lang w:val="en-US" w:eastAsia="zh-CN"/>
              </w:rPr>
              <w:t>19</w:t>
            </w:r>
            <w:r>
              <w:rPr>
                <w:rFonts w:hint="eastAsia" w:ascii="宋体" w:hAnsi="宋体"/>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rPr>
            </w:pPr>
            <w:r>
              <w:rPr>
                <w:rFonts w:hint="eastAsia" w:ascii="宋体" w:hAnsi="宋体" w:cs="宋体"/>
                <w:kern w:val="0"/>
                <w:szCs w:val="21"/>
              </w:rPr>
              <w:t>监督审核次数</w:t>
            </w:r>
          </w:p>
        </w:tc>
        <w:tc>
          <w:tcPr>
            <w:tcW w:w="4020" w:type="dxa"/>
            <w:vAlign w:val="top"/>
          </w:tcPr>
          <w:p>
            <w:pPr>
              <w:tabs>
                <w:tab w:val="left" w:pos="747"/>
                <w:tab w:val="left" w:pos="880"/>
              </w:tabs>
              <w:autoSpaceDE w:val="0"/>
              <w:autoSpaceDN w:val="0"/>
              <w:adjustRightInd w:val="0"/>
              <w:spacing w:before="35" w:line="276" w:lineRule="auto"/>
              <w:ind w:right="161" w:rightChars="0" w:firstLine="1155" w:firstLineChars="550"/>
              <w:jc w:val="both"/>
              <w:rPr>
                <w:sz w:val="21"/>
                <w:szCs w:val="21"/>
              </w:rPr>
            </w:pPr>
            <w:r>
              <w:rPr>
                <w:rFonts w:hint="eastAsia" w:ascii="宋体" w:cs="宋体"/>
                <w:kern w:val="0"/>
                <w:szCs w:val="21"/>
                <w:lang w:eastAsia="zh-CN"/>
              </w:rPr>
              <w:tab/>
            </w:r>
            <w:r>
              <w:rPr>
                <w:rFonts w:hint="eastAsia" w:ascii="宋体" w:cs="宋体"/>
                <w:kern w:val="0"/>
                <w:szCs w:val="21"/>
                <w:lang w:val="en-US" w:eastAsia="zh-CN"/>
              </w:rPr>
              <w:t xml:space="preserve"> </w:t>
            </w:r>
            <w:r>
              <w:rPr>
                <w:rFonts w:hint="eastAsia" w:ascii="宋体" w:cs="宋体"/>
                <w:kern w:val="0"/>
                <w:szCs w:val="21"/>
                <w:lang w:eastAsia="zh-CN"/>
              </w:rPr>
              <w:tab/>
            </w:r>
            <w:r>
              <w:rPr>
                <w:rFonts w:hint="eastAsia" w:ascii="宋体" w:cs="宋体"/>
                <w:kern w:val="0"/>
                <w:szCs w:val="21"/>
              </w:rPr>
              <w:t>第</w:t>
            </w:r>
            <w:r>
              <w:rPr>
                <w:rFonts w:hint="eastAsia" w:ascii="宋体" w:cs="宋体"/>
                <w:kern w:val="0"/>
                <w:szCs w:val="21"/>
                <w:lang w:eastAsia="zh-CN"/>
              </w:rPr>
              <w:t>一</w:t>
            </w:r>
            <w:r>
              <w:rPr>
                <w:rFonts w:hint="eastAsia" w:ascii="宋体" w:cs="宋体"/>
                <w:kern w:val="0"/>
                <w:szCs w:val="21"/>
              </w:rPr>
              <w:t>次</w:t>
            </w:r>
          </w:p>
        </w:tc>
        <w:tc>
          <w:tcPr>
            <w:tcW w:w="165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339"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eastAsiaTheme="minorEastAsia"/>
                <w:kern w:val="0"/>
                <w:sz w:val="21"/>
                <w:szCs w:val="21"/>
                <w:lang w:val="en-US" w:eastAsia="zh-CN"/>
              </w:rPr>
            </w:pPr>
            <w:r>
              <w:rPr>
                <w:rFonts w:ascii="宋体" w:hAnsi="宋体" w:cs="宋体"/>
                <w:kern w:val="0"/>
                <w:szCs w:val="21"/>
              </w:rPr>
              <w:t>20</w:t>
            </w:r>
            <w:r>
              <w:rPr>
                <w:rFonts w:hint="eastAsia" w:ascii="宋体" w:hAnsi="宋体" w:cs="宋体"/>
                <w:kern w:val="0"/>
                <w:szCs w:val="21"/>
                <w:lang w:val="en-US" w:eastAsia="zh-CN"/>
              </w:rPr>
              <w:t>22</w:t>
            </w:r>
            <w:r>
              <w:rPr>
                <w:rFonts w:hint="eastAsia" w:ascii="宋体" w:hAnsi="宋体" w:cs="宋体"/>
                <w:kern w:val="0"/>
                <w:szCs w:val="21"/>
              </w:rPr>
              <w:t>年</w:t>
            </w:r>
            <w:r>
              <w:rPr>
                <w:rFonts w:hint="eastAsia" w:ascii="宋体" w:hAnsi="宋体" w:cs="宋体"/>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65" w:type="dxa"/>
            <w:vAlign w:val="top"/>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rPr>
            </w:pPr>
            <w:r>
              <w:rPr>
                <w:rFonts w:hint="eastAsia" w:cs="宋体" w:asciiTheme="minorEastAsia" w:hAnsiTheme="minorEastAsia"/>
                <w:kern w:val="0"/>
                <w:szCs w:val="21"/>
              </w:rPr>
              <w:t>姓名及确认号</w:t>
            </w:r>
          </w:p>
        </w:tc>
        <w:tc>
          <w:tcPr>
            <w:tcW w:w="4020"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spacing w:line="360" w:lineRule="exact"/>
              <w:jc w:val="both"/>
              <w:rPr>
                <w:rFonts w:cs="宋体" w:asciiTheme="minorEastAsia" w:hAnsiTheme="minorEastAsia"/>
                <w:kern w:val="0"/>
                <w:sz w:val="21"/>
                <w:szCs w:val="21"/>
              </w:rPr>
            </w:pPr>
            <w:r>
              <w:rPr>
                <w:rFonts w:hint="eastAsia" w:ascii="宋体" w:hAnsi="宋体" w:eastAsia="宋体" w:cs="宋体"/>
                <w:sz w:val="21"/>
                <w:szCs w:val="21"/>
                <w:lang w:eastAsia="zh-CN"/>
              </w:rPr>
              <w:t>韩永师2021-M1MMS-1068643</w:t>
            </w:r>
          </w:p>
        </w:tc>
        <w:tc>
          <w:tcPr>
            <w:tcW w:w="1650" w:type="dxa"/>
            <w:vAlign w:val="center"/>
          </w:tcPr>
          <w:p>
            <w:pPr>
              <w:spacing w:line="240" w:lineRule="exact"/>
              <w:jc w:val="center"/>
              <w:rPr>
                <w:rFonts w:cs="宋体" w:asciiTheme="minorEastAsia" w:hAnsiTheme="minorEastAsia"/>
                <w:kern w:val="0"/>
                <w:sz w:val="21"/>
                <w:szCs w:val="21"/>
              </w:rPr>
            </w:pPr>
            <w:r>
              <w:rPr>
                <w:rFonts w:cs="宋体" w:asciiTheme="minorEastAsia" w:hAnsiTheme="minorEastAsia"/>
                <w:bCs/>
                <w:kern w:val="0"/>
                <w:szCs w:val="21"/>
              </w:rPr>
              <w:t>监督审核涉及的区域或部门</w:t>
            </w:r>
          </w:p>
        </w:tc>
        <w:tc>
          <w:tcPr>
            <w:tcW w:w="2339" w:type="dxa"/>
            <w:vAlign w:val="top"/>
          </w:tcPr>
          <w:p>
            <w:pPr>
              <w:spacing w:line="360" w:lineRule="auto"/>
              <w:rPr>
                <w:rFonts w:ascii="宋体" w:hAnsi="宋体" w:eastAsia="宋体" w:cs="Times New Roman"/>
                <w:bCs/>
                <w:sz w:val="21"/>
                <w:szCs w:val="21"/>
              </w:rPr>
            </w:pPr>
            <w:r>
              <w:rPr>
                <w:rFonts w:hint="eastAsia"/>
                <w:bCs/>
                <w:sz w:val="21"/>
                <w:szCs w:val="21"/>
                <w:lang w:eastAsia="zh-CN"/>
              </w:rPr>
              <w:t>生产部（质检）、</w:t>
            </w:r>
            <w:r>
              <w:rPr>
                <w:rFonts w:hint="eastAsia" w:eastAsia="新宋体"/>
                <w:sz w:val="21"/>
                <w:szCs w:val="21"/>
                <w:lang w:eastAsia="zh-CN"/>
              </w:rPr>
              <w:t>办公室（采购）、</w:t>
            </w:r>
            <w:r>
              <w:rPr>
                <w:rFonts w:hint="eastAsia"/>
                <w:bCs/>
                <w:sz w:val="21"/>
                <w:szCs w:val="21"/>
                <w:lang w:eastAsia="zh-CN"/>
              </w:rPr>
              <w:t>技术研发部、</w:t>
            </w:r>
            <w:r>
              <w:rPr>
                <w:rFonts w:hint="eastAsia" w:eastAsia="新宋体"/>
                <w:szCs w:val="21"/>
                <w:lang w:eastAsia="zh-CN"/>
              </w:rPr>
              <w:t>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运行认证</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淄博海源电子科技有限公司远程</w:t>
      </w:r>
      <w:r>
        <w:rPr>
          <w:rFonts w:hint="eastAsia" w:ascii="宋体" w:hAnsi="宋体" w:cs="宋体"/>
          <w:bCs/>
          <w:kern w:val="0"/>
          <w:szCs w:val="21"/>
        </w:rPr>
        <w:t>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eastAsiaTheme="minorEastAsia"/>
          <w:bCs/>
          <w:kern w:val="0"/>
          <w:szCs w:val="21"/>
          <w:lang w:eastAsia="zh-CN"/>
        </w:rPr>
      </w:pPr>
      <w:r>
        <w:rPr>
          <w:rFonts w:hint="eastAsia" w:ascii="宋体" w:hAnsi="宋体" w:cs="宋体"/>
          <w:bCs/>
          <w:kern w:val="0"/>
          <w:szCs w:val="21"/>
        </w:rPr>
        <w:t>3.1</w:t>
      </w: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2022</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3月23日</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组织了</w:t>
      </w:r>
      <w:r>
        <w:rPr>
          <w:rFonts w:hint="eastAsia" w:ascii="宋体" w:hAnsi="宋体" w:cs="宋体"/>
          <w:bCs/>
          <w:kern w:val="0"/>
          <w:szCs w:val="21"/>
        </w:rPr>
        <w:t>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r>
        <w:rPr>
          <w:rFonts w:hint="eastAsia" w:ascii="宋体" w:hAnsi="宋体" w:cs="宋体"/>
          <w:bCs/>
          <w:kern w:val="0"/>
          <w:szCs w:val="21"/>
          <w:lang w:eastAsia="zh-CN"/>
        </w:rPr>
        <w:t>。办公室主任宁艳玲</w:t>
      </w:r>
      <w:r>
        <w:rPr>
          <w:rFonts w:hint="eastAsia" w:ascii="宋体" w:hAnsi="宋体" w:cs="宋体"/>
          <w:bCs/>
          <w:kern w:val="0"/>
          <w:szCs w:val="21"/>
          <w:highlight w:val="none"/>
          <w:lang w:eastAsia="zh-CN"/>
        </w:rPr>
        <w:t>任组长组织</w:t>
      </w:r>
      <w:r>
        <w:rPr>
          <w:rFonts w:hint="eastAsia" w:ascii="宋体" w:hAnsi="宋体" w:cs="宋体"/>
          <w:bCs/>
          <w:kern w:val="0"/>
          <w:szCs w:val="21"/>
          <w:highlight w:val="none"/>
        </w:rPr>
        <w:t>审核。</w:t>
      </w:r>
      <w:r>
        <w:rPr>
          <w:rFonts w:hint="eastAsia" w:ascii="宋体" w:hAnsi="宋体" w:cs="宋体"/>
          <w:bCs/>
          <w:kern w:val="0"/>
          <w:szCs w:val="21"/>
          <w:highlight w:val="none"/>
          <w:lang w:val="en-US" w:eastAsia="zh-CN"/>
        </w:rPr>
        <w:t>1个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1个</w:t>
      </w:r>
      <w:r>
        <w:rPr>
          <w:rFonts w:hint="eastAsia" w:ascii="宋体" w:hAnsi="宋体" w:cs="宋体"/>
          <w:bCs/>
          <w:kern w:val="0"/>
          <w:szCs w:val="21"/>
        </w:rPr>
        <w:t>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highlight w:val="none"/>
        </w:rPr>
        <w:t>公司于20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4</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12</w:t>
      </w:r>
      <w:r>
        <w:rPr>
          <w:rFonts w:hint="eastAsia" w:ascii="宋体" w:hAnsi="宋体" w:cs="宋体"/>
          <w:bCs/>
          <w:kern w:val="0"/>
          <w:szCs w:val="21"/>
          <w:highlight w:val="none"/>
        </w:rPr>
        <w:t>日，开展了测量体系管理</w:t>
      </w:r>
      <w:r>
        <w:rPr>
          <w:rFonts w:hint="eastAsia" w:ascii="宋体" w:hAnsi="宋体" w:cs="宋体"/>
          <w:bCs/>
          <w:kern w:val="0"/>
          <w:szCs w:val="21"/>
          <w:highlight w:val="none"/>
          <w:lang w:eastAsia="zh-CN"/>
        </w:rPr>
        <w:t>管理</w:t>
      </w:r>
      <w:r>
        <w:rPr>
          <w:rFonts w:hint="eastAsia" w:ascii="宋体" w:hAnsi="宋体" w:cs="宋体"/>
          <w:bCs/>
          <w:kern w:val="0"/>
          <w:szCs w:val="21"/>
          <w:highlight w:val="none"/>
        </w:rPr>
        <w:t>评审，</w:t>
      </w:r>
      <w:r>
        <w:rPr>
          <w:bCs/>
          <w:szCs w:val="21"/>
          <w:highlight w:val="none"/>
        </w:rPr>
        <w:t>会议由企业总经</w:t>
      </w:r>
      <w:r>
        <w:rPr>
          <w:rFonts w:hint="eastAsia"/>
          <w:bCs/>
          <w:szCs w:val="21"/>
          <w:highlight w:val="none"/>
          <w:lang w:eastAsia="zh-CN"/>
        </w:rPr>
        <w:t>委托</w:t>
      </w:r>
      <w:r>
        <w:rPr>
          <w:sz w:val="21"/>
          <w:szCs w:val="21"/>
          <w:highlight w:val="none"/>
        </w:rPr>
        <w:t>管理者代表</w:t>
      </w:r>
      <w:bookmarkStart w:id="6" w:name="_GoBack"/>
      <w:bookmarkEnd w:id="6"/>
      <w:r>
        <w:rPr>
          <w:rFonts w:hint="eastAsia"/>
          <w:sz w:val="21"/>
          <w:szCs w:val="21"/>
          <w:highlight w:val="none"/>
          <w:lang w:eastAsia="zh-CN"/>
        </w:rPr>
        <w:t>薛伦美</w:t>
      </w:r>
      <w:r>
        <w:rPr>
          <w:rFonts w:hint="eastAsia"/>
          <w:bCs/>
          <w:sz w:val="21"/>
          <w:szCs w:val="21"/>
          <w:highlight w:val="none"/>
          <w:lang w:eastAsia="zh-CN"/>
        </w:rPr>
        <w:t>主持，</w:t>
      </w:r>
      <w:r>
        <w:rPr>
          <w:sz w:val="21"/>
          <w:szCs w:val="21"/>
          <w:highlight w:val="none"/>
        </w:rPr>
        <w:t>管理者代表</w:t>
      </w:r>
      <w:r>
        <w:rPr>
          <w:rFonts w:hint="eastAsia"/>
          <w:sz w:val="21"/>
          <w:szCs w:val="21"/>
          <w:highlight w:val="none"/>
          <w:lang w:eastAsia="zh-CN"/>
        </w:rPr>
        <w:t>及</w:t>
      </w:r>
      <w:r>
        <w:rPr>
          <w:sz w:val="21"/>
          <w:szCs w:val="21"/>
          <w:highlight w:val="none"/>
        </w:rPr>
        <w:t>各部门</w:t>
      </w:r>
      <w:r>
        <w:rPr>
          <w:bCs/>
          <w:sz w:val="21"/>
          <w:szCs w:val="21"/>
          <w:highlight w:val="none"/>
        </w:rPr>
        <w:t>汇报了体系运行情况和部门工作完成情况。</w:t>
      </w:r>
      <w:r>
        <w:rPr>
          <w:rFonts w:hint="eastAsia" w:ascii="宋体" w:hAnsi="宋体" w:cs="宋体"/>
          <w:bCs/>
          <w:kern w:val="0"/>
          <w:sz w:val="21"/>
          <w:szCs w:val="21"/>
          <w:highlight w:val="none"/>
        </w:rPr>
        <w:t>会上肯定了公司</w:t>
      </w:r>
      <w:r>
        <w:rPr>
          <w:rFonts w:hint="eastAsia" w:ascii="宋体" w:hAnsi="宋体" w:cs="宋体"/>
          <w:bCs/>
          <w:kern w:val="0"/>
          <w:szCs w:val="21"/>
          <w:highlight w:val="none"/>
        </w:rPr>
        <w:t>测量管理体系的充分性、有效性和适宜性。</w:t>
      </w:r>
      <w:r>
        <w:rPr>
          <w:rFonts w:hint="eastAsia" w:ascii="宋体" w:hAnsi="宋体" w:cs="宋体"/>
          <w:bCs/>
          <w:kern w:val="0"/>
          <w:szCs w:val="21"/>
        </w:rPr>
        <w:t>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bookmarkStart w:id="4" w:name="审核范围"/>
      <w:r>
        <w:rPr>
          <w:color w:val="000000"/>
          <w:szCs w:val="21"/>
        </w:rPr>
        <w:t>资质范围内的水表、智能表、热量表制造；自动抄表软件的研发；供水设备的销售;</w:t>
      </w:r>
      <w:bookmarkEnd w:id="4"/>
      <w:r>
        <w:rPr>
          <w:rFonts w:hint="eastAsia" w:ascii="宋体" w:hAnsi="宋体"/>
          <w:szCs w:val="21"/>
          <w:lang w:eastAsia="zh-CN"/>
        </w:rPr>
        <w:t>。</w:t>
      </w:r>
      <w:r>
        <w:rPr>
          <w:rFonts w:hint="eastAsia"/>
          <w:bCs/>
          <w:sz w:val="21"/>
          <w:szCs w:val="21"/>
          <w:lang w:eastAsia="zh-CN"/>
        </w:rPr>
        <w:t>生产部（质检）</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宋体"/>
          <w:kern w:val="0"/>
          <w:szCs w:val="21"/>
          <w:lang w:val="zh-CN" w:eastAsia="zh-CN"/>
        </w:rPr>
        <w:t>水表的密封性试验</w:t>
      </w:r>
      <w:r>
        <w:rPr>
          <w:rFonts w:hint="eastAsia" w:ascii="Times New Roman" w:hAnsi="Times New Roman" w:cs="Times New Roman"/>
          <w:szCs w:val="21"/>
          <w:lang w:eastAsia="zh-CN"/>
        </w:rPr>
        <w:t>、示值误差测量</w:t>
      </w:r>
      <w:r>
        <w:rPr>
          <w:rFonts w:hint="eastAsia"/>
          <w:color w:val="auto"/>
          <w:szCs w:val="21"/>
        </w:rPr>
        <w:t>等关键测量过程</w:t>
      </w:r>
      <w:r>
        <w:rPr>
          <w:rFonts w:hint="eastAsia" w:ascii="宋体" w:hAnsi="宋体" w:eastAsia="宋体" w:cs="宋体"/>
          <w:snapToGrid w:val="0"/>
          <w:color w:val="000000"/>
          <w:kern w:val="0"/>
          <w:szCs w:val="21"/>
          <w:lang w:eastAsia="zh-CN"/>
        </w:rPr>
        <w:t>等</w:t>
      </w:r>
      <w:r>
        <w:rPr>
          <w:rFonts w:hint="eastAsia" w:ascii="宋体" w:hAnsi="宋体" w:eastAsia="宋体" w:cs="宋体"/>
          <w:snapToGrid w:val="0"/>
          <w:color w:val="000000"/>
          <w:kern w:val="0"/>
          <w:szCs w:val="21"/>
          <w:lang w:val="en-US" w:eastAsia="zh-CN"/>
        </w:rPr>
        <w:t>18</w:t>
      </w:r>
      <w:r>
        <w:rPr>
          <w:rFonts w:hint="eastAsia" w:ascii="宋体" w:hAnsi="宋体" w:cs="宋体"/>
          <w:kern w:val="0"/>
          <w:szCs w:val="21"/>
          <w:lang w:val="en-US" w:eastAsia="zh-CN"/>
        </w:rPr>
        <w:t>测量过程</w:t>
      </w:r>
      <w:r>
        <w:rPr>
          <w:rFonts w:ascii="Times New Roman" w:hAnsi="Times New Roman" w:cs="Times New Roman"/>
          <w:bCs/>
          <w:kern w:val="0"/>
          <w:szCs w:val="21"/>
        </w:rPr>
        <w:t>，其中</w:t>
      </w:r>
      <w:r>
        <w:rPr>
          <w:rFonts w:hint="eastAsia" w:ascii="Times New Roman" w:hAnsi="Times New Roman" w:cs="Times New Roman"/>
          <w:bCs/>
          <w:kern w:val="0"/>
          <w:szCs w:val="21"/>
          <w:lang w:val="en-US" w:eastAsia="zh-CN"/>
        </w:rPr>
        <w:t>、</w:t>
      </w:r>
      <w:r>
        <w:rPr>
          <w:rFonts w:ascii="Times New Roman" w:hAnsi="Times New Roman" w:cs="Times New Roman"/>
          <w:bCs/>
          <w:kern w:val="0"/>
          <w:szCs w:val="21"/>
        </w:rPr>
        <w:t>关键测量过程</w:t>
      </w: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26</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lang w:eastAsia="zh-CN"/>
        </w:rPr>
        <w:t>水表的密封性试验</w:t>
      </w:r>
      <w:r>
        <w:rPr>
          <w:rFonts w:hint="eastAsia" w:ascii="宋体" w:hAnsi="宋体" w:cs="宋体"/>
          <w:kern w:val="0"/>
          <w:szCs w:val="21"/>
        </w:rPr>
        <w:t>测量</w:t>
      </w:r>
      <w:r>
        <w:rPr>
          <w:rFonts w:ascii="Times New Roman" w:hAnsi="Times New Roman" w:cs="Times New Roman"/>
          <w:bCs/>
          <w:kern w:val="0"/>
          <w:szCs w:val="21"/>
        </w:rPr>
        <w:t>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ascii="Times New Roman" w:hAnsi="Times New Roman" w:eastAsia="宋体" w:cs="Times New Roman"/>
          <w:sz w:val="21"/>
          <w:szCs w:val="21"/>
          <w:lang w:val="en-US" w:eastAsia="zh-CN"/>
        </w:rPr>
        <w:t>DN15</w:t>
      </w:r>
      <w:r>
        <w:rPr>
          <w:rFonts w:hint="eastAsia"/>
          <w:lang w:eastAsia="zh-CN"/>
        </w:rPr>
        <w:t>水表的密封性试验</w:t>
      </w:r>
      <w:r>
        <w:rPr>
          <w:rFonts w:hint="eastAsia" w:ascii="宋体" w:hAnsi="宋体" w:cs="宋体"/>
          <w:kern w:val="0"/>
          <w:szCs w:val="21"/>
        </w:rPr>
        <w:t>测量</w:t>
      </w:r>
      <w:r>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Times New Roman" w:hAnsi="Times New Roman" w:eastAsia="宋体" w:cs="Times New Roman"/>
          <w:sz w:val="21"/>
          <w:szCs w:val="21"/>
          <w:lang w:val="en-US" w:eastAsia="zh-CN"/>
        </w:rPr>
        <w:t>DN15</w:t>
      </w:r>
      <w:r>
        <w:rPr>
          <w:rFonts w:hint="eastAsia"/>
          <w:lang w:eastAsia="zh-CN"/>
        </w:rPr>
        <w:t>水表的密封性试验</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highlight w:val="none"/>
        </w:rPr>
      </w:pPr>
      <w:r>
        <w:rPr>
          <w:rFonts w:ascii="Times New Roman" w:hAnsi="Times New Roman" w:cs="Times New Roman"/>
          <w:bCs/>
          <w:kern w:val="0"/>
          <w:sz w:val="21"/>
          <w:szCs w:val="21"/>
        </w:rPr>
        <w:t>4.5、查《</w:t>
      </w:r>
      <w:r>
        <w:rPr>
          <w:rFonts w:hint="eastAsia" w:ascii="Times New Roman" w:hAnsi="Times New Roman" w:eastAsia="宋体" w:cs="Times New Roman"/>
          <w:sz w:val="21"/>
          <w:szCs w:val="21"/>
          <w:lang w:val="en-US" w:eastAsia="zh-CN"/>
        </w:rPr>
        <w:t>DN15</w:t>
      </w:r>
      <w:r>
        <w:rPr>
          <w:rFonts w:hint="eastAsia"/>
          <w:lang w:eastAsia="zh-CN"/>
        </w:rPr>
        <w:t>水表的密封性试验</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hint="eastAsia" w:ascii="Times New Roman" w:hAnsi="Times New Roman" w:cs="Times New Roman" w:eastAsiaTheme="minorEastAsia"/>
          <w:bCs/>
          <w:color w:val="auto"/>
          <w:kern w:val="0"/>
          <w:szCs w:val="21"/>
          <w:lang w:val="en-US" w:eastAsia="zh-CN"/>
        </w:rPr>
      </w:pPr>
      <w:r>
        <w:rPr>
          <w:rFonts w:ascii="Times New Roman" w:hAnsi="Times New Roman" w:cs="Times New Roman"/>
          <w:bCs/>
          <w:kern w:val="0"/>
          <w:sz w:val="21"/>
          <w:szCs w:val="21"/>
          <w:highlight w:val="none"/>
        </w:rPr>
        <w:t>4.</w:t>
      </w:r>
      <w:r>
        <w:rPr>
          <w:rFonts w:hint="eastAsia" w:ascii="Times New Roman" w:hAnsi="Times New Roman" w:cs="Times New Roman"/>
          <w:bCs/>
          <w:kern w:val="0"/>
          <w:sz w:val="21"/>
          <w:szCs w:val="21"/>
          <w:highlight w:val="none"/>
          <w:lang w:val="en-US" w:eastAsia="zh-CN"/>
        </w:rPr>
        <w:t>6</w:t>
      </w:r>
      <w:r>
        <w:rPr>
          <w:rFonts w:hint="eastAsia" w:cs="宋体" w:asciiTheme="minorEastAsia" w:hAnsiTheme="minorEastAsia"/>
          <w:color w:val="auto"/>
          <w:kern w:val="0"/>
          <w:szCs w:val="21"/>
          <w:highlight w:val="none"/>
        </w:rPr>
        <w:t>测量设备的</w:t>
      </w:r>
      <w:r>
        <w:rPr>
          <w:rFonts w:hint="eastAsia" w:cs="宋体" w:asciiTheme="minorEastAsia" w:hAnsiTheme="minorEastAsia"/>
          <w:color w:val="auto"/>
          <w:kern w:val="0"/>
          <w:sz w:val="21"/>
          <w:szCs w:val="21"/>
          <w:highlight w:val="none"/>
        </w:rPr>
        <w:t>溯源：</w:t>
      </w:r>
      <w:r>
        <w:rPr>
          <w:rFonts w:hint="eastAsia" w:ascii="宋体" w:hAnsi="宋体" w:eastAsia="宋体" w:cs="宋体"/>
          <w:sz w:val="21"/>
          <w:szCs w:val="21"/>
          <w:lang w:eastAsia="zh-CN"/>
        </w:rPr>
        <w:t>企业建立水表检定装置，取得专项计量授权证对社会可以开展检定</w:t>
      </w:r>
      <w:r>
        <w:rPr>
          <w:rFonts w:hint="eastAsia" w:ascii="宋体" w:hAnsi="宋体" w:eastAsia="宋体"/>
          <w:bCs/>
          <w:color w:val="auto"/>
          <w:sz w:val="21"/>
          <w:szCs w:val="21"/>
          <w:highlight w:val="none"/>
        </w:rPr>
        <w:t>，企业</w:t>
      </w:r>
      <w:r>
        <w:rPr>
          <w:rFonts w:hint="eastAsia" w:ascii="宋体" w:hAnsi="宋体" w:eastAsia="宋体"/>
          <w:bCs/>
          <w:color w:val="auto"/>
          <w:sz w:val="21"/>
          <w:szCs w:val="21"/>
          <w:highlight w:val="none"/>
          <w:lang w:eastAsia="zh-CN"/>
        </w:rPr>
        <w:t>其它</w:t>
      </w:r>
      <w:r>
        <w:rPr>
          <w:rFonts w:hint="eastAsia" w:ascii="宋体" w:hAnsi="宋体" w:eastAsia="宋体"/>
          <w:bCs/>
          <w:color w:val="auto"/>
          <w:sz w:val="21"/>
          <w:szCs w:val="21"/>
          <w:highlight w:val="none"/>
        </w:rPr>
        <w:t>测量设备外送</w:t>
      </w:r>
      <w:r>
        <w:rPr>
          <w:rFonts w:hint="eastAsia" w:eastAsia="宋体" w:cs="Tahoma"/>
          <w:sz w:val="21"/>
          <w:szCs w:val="21"/>
        </w:rPr>
        <w:t>山东省计量科学研究院</w:t>
      </w:r>
      <w:r>
        <w:rPr>
          <w:rFonts w:hint="eastAsia" w:cs="Tahoma"/>
          <w:color w:val="auto"/>
          <w:sz w:val="21"/>
          <w:szCs w:val="21"/>
          <w:highlight w:val="none"/>
          <w:lang w:eastAsia="zh-CN"/>
        </w:rPr>
        <w:t>，</w:t>
      </w:r>
      <w:r>
        <w:rPr>
          <w:rFonts w:hint="eastAsia" w:ascii="宋体" w:hAnsi="宋体" w:eastAsia="宋体" w:cs="宋体"/>
          <w:sz w:val="21"/>
          <w:szCs w:val="21"/>
          <w:lang w:eastAsia="zh-CN"/>
        </w:rPr>
        <w:t>（国）法计（</w:t>
      </w:r>
      <w:r>
        <w:rPr>
          <w:rFonts w:hint="eastAsia" w:ascii="宋体" w:hAnsi="宋体" w:eastAsia="宋体" w:cs="宋体"/>
          <w:sz w:val="21"/>
          <w:szCs w:val="21"/>
          <w:lang w:val="en-US" w:eastAsia="zh-CN"/>
        </w:rPr>
        <w:t>2017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01024；</w:t>
      </w:r>
      <w:r>
        <w:rPr>
          <w:rFonts w:hint="eastAsia" w:ascii="宋体" w:hAnsi="宋体" w:eastAsia="宋体" w:cs="宋体"/>
          <w:color w:val="auto"/>
          <w:sz w:val="21"/>
          <w:szCs w:val="21"/>
          <w:highlight w:val="none"/>
          <w:lang w:val="en-US" w:eastAsia="zh-CN"/>
        </w:rPr>
        <w:t>；</w:t>
      </w:r>
      <w:r>
        <w:rPr>
          <w:rFonts w:hint="eastAsia" w:eastAsia="宋体" w:cs="Tahoma"/>
          <w:sz w:val="21"/>
          <w:szCs w:val="21"/>
        </w:rPr>
        <w:t>淄博市淄川区计量测试所</w:t>
      </w:r>
      <w:r>
        <w:rPr>
          <w:rFonts w:hint="eastAsia" w:ascii="宋体" w:hAnsi="宋体" w:eastAsia="宋体" w:cs="宋体"/>
          <w:sz w:val="21"/>
          <w:szCs w:val="21"/>
          <w:lang w:val="en-US" w:eastAsia="zh-CN"/>
        </w:rPr>
        <w:t>（鲁）法计 （2009）370309号；</w:t>
      </w:r>
      <w:r>
        <w:rPr>
          <w:rFonts w:hint="eastAsia" w:ascii="宋体" w:hAnsi="宋体" w:eastAsia="宋体" w:cs="宋体"/>
          <w:color w:val="auto"/>
          <w:sz w:val="21"/>
          <w:szCs w:val="21"/>
          <w:highlight w:val="none"/>
          <w:lang w:val="en-US" w:eastAsia="zh-CN"/>
        </w:rPr>
        <w:t xml:space="preserve"> </w:t>
      </w:r>
      <w:r>
        <w:rPr>
          <w:rFonts w:hint="eastAsia"/>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6份校准证书</w:t>
      </w:r>
      <w:r>
        <w:rPr>
          <w:rFonts w:hint="eastAsia" w:ascii="宋体" w:hAnsi="宋体" w:eastAsia="宋体" w:cs="宋体"/>
          <w:color w:val="auto"/>
          <w:sz w:val="21"/>
          <w:szCs w:val="21"/>
          <w:highlight w:val="none"/>
        </w:rPr>
        <w:t>，证书中使用的计量标准符合要求，填写规范，信息无遗漏，授权人</w:t>
      </w:r>
      <w:r>
        <w:rPr>
          <w:rFonts w:ascii="Times New Roman" w:hAnsi="Times New Roman"/>
          <w:color w:val="auto"/>
          <w:sz w:val="21"/>
          <w:szCs w:val="21"/>
          <w:highlight w:val="none"/>
        </w:rPr>
        <w:t>签章资质有效，符合要求。详见附件《测量设备溯源抽查表》。</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认证</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bCs/>
          <w:kern w:val="0"/>
          <w:szCs w:val="21"/>
        </w:rPr>
      </w:pPr>
      <w:r>
        <w:rPr>
          <w:rFonts w:hint="eastAsia" w:ascii="宋体" w:hAnsi="宋体"/>
          <w:b w:val="0"/>
          <w:bCs/>
          <w:szCs w:val="21"/>
        </w:rPr>
        <w:t>公司</w:t>
      </w:r>
      <w:r>
        <w:rPr>
          <w:rFonts w:hint="eastAsia" w:ascii="宋体" w:hAnsi="宋体"/>
          <w:b w:val="0"/>
          <w:bCs/>
          <w:sz w:val="21"/>
          <w:szCs w:val="21"/>
        </w:rPr>
        <w:t>对</w:t>
      </w:r>
      <w:r>
        <w:rPr>
          <w:rFonts w:hint="eastAsia" w:ascii="宋体" w:hAnsi="宋体"/>
          <w:b w:val="0"/>
          <w:bCs/>
          <w:sz w:val="21"/>
          <w:szCs w:val="21"/>
          <w:lang w:eastAsia="zh-CN"/>
        </w:rPr>
        <w:t>认证</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ascii="宋体" w:hAnsi="宋体" w:cs="宋体"/>
          <w:kern w:val="0"/>
          <w:szCs w:val="21"/>
        </w:rPr>
        <w:t>在生产部检测生产线，查其所提供水表流量检测记录内</w:t>
      </w:r>
      <w:r>
        <w:rPr>
          <w:rFonts w:hint="eastAsia"/>
          <w:bCs/>
          <w:szCs w:val="21"/>
        </w:rPr>
        <w:t>容中技术特性依据为G</w:t>
      </w:r>
      <w:r>
        <w:rPr>
          <w:bCs/>
          <w:szCs w:val="21"/>
        </w:rPr>
        <w:t>B/T778.1-2007</w:t>
      </w:r>
      <w:r>
        <w:rPr>
          <w:rFonts w:hint="eastAsia"/>
          <w:bCs/>
          <w:szCs w:val="21"/>
        </w:rPr>
        <w:t>，该标准已过期</w:t>
      </w:r>
      <w:r>
        <w:rPr>
          <w:rFonts w:hint="eastAsia" w:cs="宋体"/>
          <w:szCs w:val="21"/>
        </w:rPr>
        <w:t>。</w:t>
      </w:r>
      <w:r>
        <w:rPr>
          <w:rFonts w:hint="eastAsia" w:ascii="宋体" w:hAnsi="宋体" w:cs="宋体"/>
          <w:kern w:val="0"/>
          <w:szCs w:val="21"/>
        </w:rPr>
        <w:t>不符合</w:t>
      </w:r>
      <w:r>
        <w:rPr>
          <w:rFonts w:ascii="宋体" w:hAnsi="宋体" w:cs="宋体"/>
          <w:kern w:val="0"/>
          <w:szCs w:val="21"/>
        </w:rPr>
        <w:t xml:space="preserve"> GB/T 19022-2003/ISO 10012</w:t>
      </w:r>
      <w:r>
        <w:rPr>
          <w:rFonts w:hint="eastAsia" w:ascii="宋体" w:hAnsi="宋体" w:cs="宋体"/>
          <w:kern w:val="0"/>
          <w:szCs w:val="21"/>
        </w:rPr>
        <w:t>：</w:t>
      </w:r>
      <w:r>
        <w:rPr>
          <w:rFonts w:ascii="宋体" w:hAnsi="宋体" w:cs="宋体"/>
          <w:kern w:val="0"/>
          <w:szCs w:val="21"/>
        </w:rPr>
        <w:t>2003</w:t>
      </w:r>
      <w:r>
        <w:rPr>
          <w:rFonts w:hint="eastAsia" w:ascii="宋体" w:hAnsi="宋体" w:cs="宋体"/>
          <w:kern w:val="0"/>
          <w:szCs w:val="21"/>
        </w:rPr>
        <w:t>标准中</w:t>
      </w:r>
      <w:r>
        <w:rPr>
          <w:rFonts w:ascii="宋体" w:hAnsi="宋体" w:cs="宋体"/>
          <w:kern w:val="0"/>
          <w:szCs w:val="21"/>
        </w:rPr>
        <w:t>6.2.1</w:t>
      </w:r>
      <w:r>
        <w:rPr>
          <w:rFonts w:hint="eastAsia" w:ascii="宋体" w:hAnsi="宋体" w:cs="宋体"/>
          <w:kern w:val="0"/>
          <w:szCs w:val="21"/>
        </w:rPr>
        <w:t>程序相关规定要求</w:t>
      </w:r>
      <w:r>
        <w:rPr>
          <w:rFonts w:hint="eastAsia" w:ascii="宋体" w:hAnsi="宋体" w:cs="宋体"/>
          <w:kern w:val="0"/>
          <w:szCs w:val="21"/>
          <w:lang w:val="en-US" w:eastAsia="zh-CN"/>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rPr>
          <w:rFonts w:hint="eastAsia"/>
          <w:szCs w:val="21"/>
          <w:lang w:eastAsia="zh-CN"/>
        </w:rPr>
      </w:pPr>
      <w:r>
        <w:rPr>
          <w:rFonts w:hint="eastAsia" w:ascii="宋体" w:hAnsi="宋体" w:cs="宋体"/>
          <w:bCs/>
          <w:kern w:val="0"/>
          <w:szCs w:val="21"/>
        </w:rPr>
        <w:t>公司目前尚未接到客户在</w:t>
      </w:r>
      <w:r>
        <w:rPr>
          <w:rFonts w:hint="eastAsia" w:ascii="宋体" w:hAnsi="宋体" w:cs="宋体"/>
          <w:bCs/>
          <w:kern w:val="0"/>
          <w:szCs w:val="21"/>
          <w:lang w:eastAsia="zh-CN"/>
        </w:rPr>
        <w:t>生产</w:t>
      </w:r>
      <w:r>
        <w:rPr>
          <w:rFonts w:hint="eastAsia" w:ascii="宋体" w:hAnsi="宋体" w:cs="宋体"/>
          <w:bCs/>
          <w:kern w:val="0"/>
          <w:szCs w:val="21"/>
        </w:rPr>
        <w:t>产品</w:t>
      </w:r>
      <w:r>
        <w:rPr>
          <w:rFonts w:hint="eastAsia" w:ascii="宋体" w:hAnsi="宋体" w:cs="宋体"/>
          <w:bCs/>
          <w:kern w:val="0"/>
          <w:szCs w:val="21"/>
          <w:lang w:eastAsia="zh-CN"/>
        </w:rPr>
        <w:t>、销售、</w:t>
      </w:r>
      <w:r>
        <w:rPr>
          <w:rFonts w:hint="eastAsia"/>
          <w:szCs w:val="21"/>
          <w:lang w:eastAsia="zh-CN"/>
        </w:rPr>
        <w:t>服务</w:t>
      </w:r>
      <w:r>
        <w:rPr>
          <w:rFonts w:hint="eastAsia" w:ascii="宋体" w:hAnsi="宋体" w:cs="宋体"/>
          <w:bCs/>
          <w:kern w:val="0"/>
          <w:szCs w:val="21"/>
          <w:lang w:eastAsia="zh-CN"/>
        </w:rPr>
        <w:t>产品</w:t>
      </w:r>
      <w:r>
        <w:rPr>
          <w:rFonts w:hint="eastAsia" w:ascii="宋体" w:hAnsi="宋体" w:cs="宋体"/>
          <w:bCs/>
          <w:kern w:val="0"/>
          <w:szCs w:val="21"/>
          <w:lang w:val="en-US" w:eastAsia="zh-CN"/>
        </w:rPr>
        <w:t xml:space="preserve"> ，</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生产产品</w:t>
      </w:r>
      <w:r>
        <w:rPr>
          <w:rFonts w:hint="eastAsia"/>
          <w:szCs w:val="21"/>
          <w:lang w:eastAsia="zh-CN"/>
        </w:rPr>
        <w:t>和</w:t>
      </w:r>
      <w:r>
        <w:rPr>
          <w:rFonts w:hint="eastAsia" w:ascii="宋体" w:hAnsi="宋体" w:cs="宋体"/>
          <w:bCs/>
          <w:kern w:val="0"/>
          <w:szCs w:val="21"/>
          <w:lang w:eastAsia="zh-CN"/>
        </w:rPr>
        <w:t>销售</w:t>
      </w:r>
      <w:r>
        <w:rPr>
          <w:rFonts w:hint="eastAsia"/>
          <w:szCs w:val="21"/>
          <w:lang w:eastAsia="zh-CN"/>
        </w:rPr>
        <w:t>、服务产品均能</w:t>
      </w:r>
      <w:r>
        <w:rPr>
          <w:szCs w:val="21"/>
        </w:rPr>
        <w:t>够满足顾客</w:t>
      </w:r>
      <w:r>
        <w:rPr>
          <w:rFonts w:hint="eastAsia"/>
          <w:szCs w:val="21"/>
          <w:lang w:eastAsia="zh-CN"/>
        </w:rPr>
        <w:t>在</w:t>
      </w:r>
      <w:r>
        <w:rPr>
          <w:szCs w:val="21"/>
        </w:rPr>
        <w:t>行业标准对产品</w:t>
      </w:r>
      <w:r>
        <w:rPr>
          <w:rFonts w:hint="eastAsia"/>
          <w:szCs w:val="21"/>
          <w:lang w:eastAsia="zh-CN"/>
        </w:rPr>
        <w:t>和</w:t>
      </w:r>
      <w:r>
        <w:rPr>
          <w:rFonts w:hint="eastAsia" w:ascii="宋体" w:hAnsi="宋体" w:cs="宋体"/>
          <w:bCs/>
          <w:kern w:val="0"/>
          <w:szCs w:val="21"/>
          <w:lang w:eastAsia="zh-CN"/>
        </w:rPr>
        <w:t>销售</w:t>
      </w:r>
      <w:r>
        <w:rPr>
          <w:rFonts w:hint="eastAsia"/>
          <w:szCs w:val="21"/>
          <w:lang w:eastAsia="zh-CN"/>
        </w:rPr>
        <w:t>、服务</w:t>
      </w:r>
      <w:r>
        <w:rPr>
          <w:szCs w:val="21"/>
        </w:rPr>
        <w:t>的要求。产品质量较好，未有顾客投诉。顾客</w:t>
      </w:r>
      <w:r>
        <w:rPr>
          <w:rFonts w:hint="eastAsia"/>
          <w:szCs w:val="21"/>
          <w:lang w:eastAsia="zh-CN"/>
        </w:rPr>
        <w:t>满意度达到标准要求。</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企业规定了公司的计量工作目标</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项，质量目标与计量方针一致。202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年度质量目标已分解。抽查企业</w:t>
      </w:r>
      <w:r>
        <w:rPr>
          <w:rFonts w:hint="eastAsia" w:cs="宋体" w:asciiTheme="minorEastAsia" w:hAnsiTheme="minorEastAsia"/>
          <w:bCs/>
          <w:kern w:val="0"/>
          <w:szCs w:val="21"/>
          <w:lang w:val="en-US" w:eastAsia="zh-CN"/>
        </w:rPr>
        <w:t>2021年4-12月和2022年1-3月，4</w:t>
      </w:r>
      <w:r>
        <w:rPr>
          <w:rFonts w:hint="eastAsia" w:cs="宋体" w:asciiTheme="minorEastAsia" w:hAnsiTheme="minor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rPr>
          <w:rFonts w:hint="eastAsia" w:ascii="宋体" w:hAnsi="宋体"/>
          <w:bCs/>
          <w:szCs w:val="21"/>
          <w:lang w:eastAsia="zh-CN"/>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企业营业执照、认证产品范围、</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w:t>
      </w:r>
      <w:r>
        <w:rPr>
          <w:rFonts w:hint="eastAsia" w:ascii="宋体" w:hAnsi="宋体" w:cs="宋体"/>
          <w:bCs/>
          <w:kern w:val="0"/>
          <w:szCs w:val="21"/>
          <w:highlight w:val="none"/>
          <w:lang w:eastAsia="zh-CN"/>
        </w:rPr>
        <w:t>均</w:t>
      </w:r>
      <w:r>
        <w:rPr>
          <w:rFonts w:hint="eastAsia" w:ascii="宋体" w:hAnsi="宋体" w:cs="宋体"/>
          <w:bCs/>
          <w:kern w:val="0"/>
          <w:szCs w:val="21"/>
          <w:highlight w:val="none"/>
        </w:rPr>
        <w:t>有变化</w:t>
      </w:r>
      <w:r>
        <w:rPr>
          <w:rFonts w:hint="eastAsia" w:ascii="宋体" w:hAnsi="宋体" w:cs="宋体"/>
          <w:bCs/>
          <w:kern w:val="0"/>
          <w:szCs w:val="21"/>
          <w:highlight w:val="none"/>
          <w:lang w:eastAsia="zh-CN"/>
        </w:rPr>
        <w:t>。</w:t>
      </w:r>
      <w:r>
        <w:rPr>
          <w:rFonts w:hint="eastAsia" w:ascii="宋体" w:hAnsi="宋体"/>
          <w:bCs/>
          <w:szCs w:val="21"/>
          <w:lang w:eastAsia="zh-CN"/>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firstLine="420" w:firstLine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宋体" w:hAnsi="宋体" w:cs="宋体"/>
          <w:bCs/>
          <w:kern w:val="0"/>
          <w:szCs w:val="21"/>
        </w:rPr>
        <w:t>企业用于标招投加分</w:t>
      </w:r>
      <w:r>
        <w:rPr>
          <w:rFonts w:hint="eastAsia" w:ascii="宋体" w:hAnsi="宋体" w:cs="宋体"/>
          <w:bCs/>
          <w:kern w:val="0"/>
          <w:szCs w:val="21"/>
          <w:lang w:eastAsia="zh-CN"/>
        </w:rPr>
        <w:t>等单位。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hint="eastAsia" w:ascii="宋体" w:hAnsi="宋体" w:cs="宋体"/>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宋体" w:cs="宋体"/>
          <w:kern w:val="0"/>
          <w:szCs w:val="21"/>
          <w:lang w:eastAsia="zh-CN"/>
        </w:rPr>
        <w:t>生产部</w:t>
      </w:r>
      <w:r>
        <w:rPr>
          <w:rFonts w:hint="eastAsia" w:ascii="宋体" w:hAnsi="宋体" w:cs="宋体"/>
          <w:kern w:val="0"/>
          <w:szCs w:val="21"/>
        </w:rPr>
        <w:t xml:space="preserve"> </w:t>
      </w:r>
      <w:r>
        <w:rPr>
          <w:rFonts w:hint="eastAsia" w:ascii="宋体" w:hAnsi="宋体" w:cs="宋体"/>
          <w:kern w:val="0"/>
          <w:szCs w:val="21"/>
          <w:lang w:eastAsia="zh-CN"/>
        </w:rPr>
        <w:t>（质检）</w:t>
      </w:r>
      <w:r>
        <w:rPr>
          <w:rFonts w:hint="eastAsia" w:ascii="宋体" w:hAnsi="宋体" w:cs="宋体"/>
          <w:kern w:val="0"/>
          <w:szCs w:val="21"/>
        </w:rPr>
        <w:t xml:space="preserve"> </w:t>
      </w:r>
      <w:r>
        <w:rPr>
          <w:rFonts w:hint="eastAsia" w:ascii="宋体" w:hAnsi="宋体" w:eastAsia="宋体" w:cs="宋体"/>
          <w:sz w:val="21"/>
          <w:szCs w:val="21"/>
          <w:lang w:eastAsia="zh-CN"/>
        </w:rPr>
        <w:t>提供</w:t>
      </w:r>
      <w:r>
        <w:rPr>
          <w:rFonts w:hint="eastAsia" w:ascii="宋体" w:hAnsi="宋体" w:cs="宋体"/>
          <w:sz w:val="21"/>
          <w:szCs w:val="21"/>
          <w:lang w:eastAsia="zh-CN"/>
        </w:rPr>
        <w:t>的“</w:t>
      </w:r>
      <w:r>
        <w:rPr>
          <w:rFonts w:hint="eastAsia" w:ascii="宋体" w:hAnsi="宋体" w:eastAsia="宋体" w:cs="宋体"/>
          <w:sz w:val="21"/>
          <w:szCs w:val="21"/>
        </w:rPr>
        <w:t>测量设备</w:t>
      </w:r>
      <w:r>
        <w:rPr>
          <w:rFonts w:hint="eastAsia" w:ascii="宋体" w:hAnsi="宋体" w:eastAsia="宋体" w:cs="宋体"/>
          <w:sz w:val="21"/>
          <w:szCs w:val="21"/>
          <w:lang w:eastAsia="zh-CN"/>
        </w:rPr>
        <w:t>台账</w:t>
      </w:r>
      <w:r>
        <w:rPr>
          <w:rFonts w:hint="eastAsia" w:ascii="宋体" w:hAnsi="宋体" w:cs="宋体"/>
          <w:sz w:val="21"/>
          <w:szCs w:val="21"/>
          <w:lang w:eastAsia="zh-CN"/>
        </w:rPr>
        <w:t>”</w:t>
      </w:r>
      <w:r>
        <w:rPr>
          <w:rFonts w:hint="eastAsia" w:ascii="宋体" w:hAnsi="宋体" w:eastAsia="宋体" w:cs="宋体"/>
          <w:sz w:val="21"/>
          <w:szCs w:val="21"/>
          <w:lang w:eastAsia="zh-CN"/>
        </w:rPr>
        <w:t>中测量设备的测量范围</w:t>
      </w:r>
      <w:r>
        <w:rPr>
          <w:rFonts w:hint="eastAsia" w:ascii="宋体" w:hAnsi="宋体" w:cs="宋体"/>
          <w:kern w:val="0"/>
          <w:szCs w:val="21"/>
          <w:lang w:eastAsia="zh-CN"/>
        </w:rPr>
        <w:t>、精度等级等信息描述不正确</w:t>
      </w:r>
      <w:r>
        <w:rPr>
          <w:rFonts w:hint="eastAsia" w:ascii="宋体" w:hAnsi="宋体" w:cs="宋体"/>
          <w:kern w:val="0"/>
          <w:szCs w:val="21"/>
          <w:lang w:val="en-US" w:eastAsia="zh-CN"/>
        </w:rPr>
        <w:t xml:space="preserve"> </w:t>
      </w:r>
      <w:r>
        <w:rPr>
          <w:rFonts w:hint="eastAsia" w:ascii="宋体" w:hAnsi="宋体" w:cs="宋体"/>
          <w:kern w:val="0"/>
          <w:szCs w:val="21"/>
          <w:lang w:eastAsia="zh-CN"/>
        </w:rPr>
        <w:t>。</w:t>
      </w:r>
      <w:r>
        <w:rPr>
          <w:rFonts w:hint="eastAsia" w:ascii="宋体" w:hAnsi="宋体"/>
          <w:szCs w:val="21"/>
        </w:rPr>
        <w:t>不符合GB/T19022-2003  6.</w:t>
      </w:r>
      <w:r>
        <w:rPr>
          <w:rFonts w:hint="eastAsia" w:ascii="宋体" w:hAnsi="宋体"/>
          <w:szCs w:val="21"/>
          <w:lang w:val="en-US" w:eastAsia="zh-CN"/>
        </w:rPr>
        <w:t>3.1</w:t>
      </w:r>
      <w:r>
        <w:rPr>
          <w:rFonts w:hint="eastAsia" w:ascii="宋体" w:hAnsi="宋体"/>
          <w:szCs w:val="21"/>
        </w:rPr>
        <w:t>条款</w:t>
      </w:r>
      <w:r>
        <w:rPr>
          <w:rFonts w:hint="eastAsia" w:ascii="宋体" w:hAnsi="宋体"/>
          <w:szCs w:val="21"/>
          <w:lang w:eastAsia="zh-CN"/>
        </w:rPr>
        <w:t>测量设备</w:t>
      </w:r>
      <w:r>
        <w:rPr>
          <w:rFonts w:hint="eastAsia" w:ascii="宋体" w:hAnsi="宋体"/>
          <w:szCs w:val="21"/>
        </w:rPr>
        <w:t>的规定要求。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2.33</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ascii="宋体" w:hAnsi="宋体"/>
          <w:b w:val="0"/>
          <w:bCs/>
          <w:szCs w:val="21"/>
          <w:highlight w:val="none"/>
          <w:lang w:val="en-US" w:eastAsia="zh-CN"/>
        </w:rPr>
        <w:t>2.5</w:t>
      </w:r>
      <w:r>
        <w:rPr>
          <w:rFonts w:hint="eastAsia"/>
          <w:b w:val="0"/>
          <w:bCs/>
          <w:szCs w:val="21"/>
          <w:highlight w:val="none"/>
        </w:rPr>
        <w:t>级</w:t>
      </w:r>
      <w:r>
        <w:rPr>
          <w:rFonts w:hint="eastAsia"/>
          <w:b w:val="0"/>
          <w:bCs/>
          <w:szCs w:val="21"/>
          <w:highlight w:val="none"/>
          <w:lang w:eastAsia="zh-CN"/>
        </w:rPr>
        <w:t>水表</w:t>
      </w:r>
      <w:r>
        <w:rPr>
          <w:rFonts w:hint="eastAsia"/>
          <w:b w:val="0"/>
          <w:bCs/>
          <w:szCs w:val="21"/>
          <w:highlight w:val="none"/>
          <w:lang w:val="en-US" w:eastAsia="zh-CN"/>
        </w:rPr>
        <w:t>1块。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04</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19日上午-04月19日下午</w:t>
      </w:r>
      <w:r>
        <w:rPr>
          <w:rFonts w:hint="eastAsia" w:ascii="宋体" w:hAnsi="宋体" w:cs="宋体"/>
          <w:bCs/>
          <w:color w:val="auto"/>
          <w:kern w:val="0"/>
          <w:szCs w:val="21"/>
        </w:rPr>
        <w:t>，对</w:t>
      </w:r>
      <w:r>
        <w:rPr>
          <w:rFonts w:hint="eastAsia" w:ascii="宋体" w:hAnsi="宋体"/>
          <w:color w:val="auto"/>
          <w:szCs w:val="21"/>
          <w:lang w:eastAsia="zh-CN"/>
        </w:rPr>
        <w:t>淄博海源电子科技有限公司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体系远程</w:t>
      </w:r>
      <w:r>
        <w:rPr>
          <w:rFonts w:hint="eastAsia" w:ascii="宋体" w:hAnsi="宋体" w:cs="宋体"/>
          <w:bCs/>
          <w:color w:val="auto"/>
          <w:kern w:val="0"/>
          <w:szCs w:val="21"/>
        </w:rPr>
        <w:t>监督审核，验证了公司在测量管理体系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淄博海源电子科技有限公司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spacing w:line="360" w:lineRule="auto"/>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1、建议企业内审员参加培训、满足测量体系</w:t>
      </w:r>
      <w:r>
        <w:rPr>
          <w:rFonts w:hint="eastAsia" w:ascii="Times New Roman" w:hAnsi="Times New Roman" w:cs="Times New Roman"/>
          <w:bCs/>
          <w:kern w:val="0"/>
          <w:szCs w:val="21"/>
          <w:lang w:eastAsia="zh-CN"/>
        </w:rPr>
        <w:t>认证工作的需求</w:t>
      </w:r>
    </w:p>
    <w:p>
      <w:pPr>
        <w:widowControl/>
        <w:numPr>
          <w:ilvl w:val="0"/>
          <w:numId w:val="0"/>
        </w:numPr>
        <w:spacing w:line="360" w:lineRule="auto"/>
        <w:rPr>
          <w:rFonts w:ascii="Times New Roman" w:hAnsi="Times New Roman" w:cs="Times New Roman"/>
          <w:bCs/>
          <w:kern w:val="0"/>
          <w:szCs w:val="21"/>
        </w:rPr>
      </w:pP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numPr>
          <w:ilvl w:val="0"/>
          <w:numId w:val="0"/>
        </w:numPr>
        <w:spacing w:line="360" w:lineRule="auto"/>
        <w:ind w:firstLine="420" w:firstLineChars="200"/>
        <w:rPr>
          <w:rFonts w:ascii="Times New Roman" w:hAnsi="Times New Roman" w:cs="Times New Roman"/>
          <w:bCs/>
          <w:kern w:val="0"/>
          <w:szCs w:val="21"/>
        </w:rPr>
      </w:pP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819150" cy="435610"/>
            <wp:effectExtent l="0" t="0" r="0" b="2540"/>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819150" cy="43561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2022.04.19</w:t>
      </w:r>
    </w:p>
    <w:p>
      <w:pPr>
        <w:widowControl/>
        <w:spacing w:line="360" w:lineRule="auto"/>
        <w:rPr>
          <w:rFonts w:ascii="宋体" w:hAnsi="宋体" w:eastAsia="宋体" w:cs="宋体"/>
          <w:b/>
          <w:bCs/>
          <w:kern w:val="0"/>
          <w:szCs w:val="21"/>
        </w:rPr>
      </w:pP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w:t>
      </w:r>
      <w:r>
        <w:rPr>
          <w:rFonts w:hint="eastAsia" w:ascii="宋体" w:hAnsi="宋体" w:eastAsia="宋体" w:cs="宋体"/>
          <w:b/>
          <w:bCs/>
          <w:kern w:val="0"/>
          <w:szCs w:val="21"/>
          <w:lang w:eastAsia="zh-CN"/>
        </w:rPr>
        <w:t>员</w:t>
      </w:r>
      <w:r>
        <w:rPr>
          <w:rFonts w:ascii="宋体" w:hAnsi="宋体" w:eastAsia="宋体" w:cs="宋体"/>
          <w:b/>
          <w:bCs/>
          <w:kern w:val="0"/>
          <w:szCs w:val="21"/>
        </w:rPr>
        <w:t>（签字）：</w:t>
      </w:r>
      <w:r>
        <w:rPr>
          <w:rFonts w:hint="eastAsia" w:ascii="宋体" w:hAnsi="宋体" w:eastAsia="宋体" w:cs="宋体"/>
          <w:b/>
          <w:bCs/>
          <w:kern w:val="0"/>
          <w:szCs w:val="21"/>
          <w:lang w:val="en-US" w:eastAsia="zh-CN"/>
        </w:rPr>
        <w:t xml:space="preserve">          </w:t>
      </w:r>
      <w:r>
        <w:rPr>
          <w:rFonts w:hint="eastAsia" w:ascii="宋体" w:hAnsi="宋体" w:cs="宋体"/>
          <w:color w:val="000000"/>
          <w:kern w:val="0"/>
          <w:szCs w:val="21"/>
        </w:rPr>
        <w:drawing>
          <wp:inline distT="0" distB="0" distL="114300" distR="114300">
            <wp:extent cx="739140" cy="403860"/>
            <wp:effectExtent l="0" t="0" r="3810" b="15875"/>
            <wp:docPr id="2" name="图片 1" descr="dc6591ee117163b669e3d77c8082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c6591ee117163b669e3d77c80822f2"/>
                    <pic:cNvPicPr>
                      <a:picLocks noChangeAspect="1"/>
                    </pic:cNvPicPr>
                  </pic:nvPicPr>
                  <pic:blipFill>
                    <a:blip r:embed="rId7"/>
                    <a:srcRect r="2185" b="23003"/>
                    <a:stretch>
                      <a:fillRect/>
                    </a:stretch>
                  </pic:blipFill>
                  <pic:spPr>
                    <a:xfrm>
                      <a:off x="0" y="0"/>
                      <a:ext cx="739140" cy="403860"/>
                    </a:xfrm>
                    <a:prstGeom prst="rect">
                      <a:avLst/>
                    </a:prstGeom>
                    <a:noFill/>
                    <a:ln>
                      <a:noFill/>
                    </a:ln>
                  </pic:spPr>
                </pic:pic>
              </a:graphicData>
            </a:graphic>
          </wp:inline>
        </w:drawing>
      </w:r>
      <w:r>
        <w:rPr>
          <w:rFonts w:hint="eastAsia" w:ascii="宋体" w:hAnsi="宋体" w:eastAsia="宋体" w:cs="宋体"/>
          <w:b/>
          <w:bCs/>
          <w:kern w:val="0"/>
          <w:szCs w:val="21"/>
          <w:lang w:val="en-US" w:eastAsia="zh-CN"/>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2022.04.19</w:t>
      </w:r>
    </w:p>
    <w:p>
      <w:pPr>
        <w:widowControl/>
        <w:spacing w:line="360" w:lineRule="auto"/>
        <w:rPr>
          <w:rFonts w:hint="eastAsia" w:ascii="宋体" w:hAnsi="宋体" w:cs="宋体"/>
          <w:b/>
          <w:bCs/>
          <w:kern w:val="0"/>
          <w:szCs w:val="21"/>
        </w:rPr>
      </w:pPr>
      <w:r>
        <w:rPr>
          <w:rFonts w:hint="eastAsia" w:ascii="宋体" w:hAnsi="宋体" w:eastAsia="宋体" w:cs="宋体"/>
          <w:b/>
          <w:bCs/>
          <w:kern w:val="0"/>
          <w:szCs w:val="21"/>
          <w:lang w:val="en-US" w:eastAsia="zh-CN"/>
        </w:rPr>
        <w:t xml:space="preserve">         </w:t>
      </w: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5" w:name="OLE_LINK1"/>
    <w:r>
      <w:drawing>
        <wp:anchor distT="0" distB="0" distL="114300" distR="114300" simplePos="0" relativeHeight="251662336" behindDoc="0" locked="0" layoutInCell="1" allowOverlap="1">
          <wp:simplePos x="0" y="0"/>
          <wp:positionH relativeFrom="column">
            <wp:posOffset>-436245</wp:posOffset>
          </wp:positionH>
          <wp:positionV relativeFrom="paragraph">
            <wp:posOffset>90170</wp:posOffset>
          </wp:positionV>
          <wp:extent cx="481965" cy="485140"/>
          <wp:effectExtent l="0" t="0" r="133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1312;mso-width-relative:page;mso-height-relative:page;" coordsize="21600,21600">
          <v:path arrowok="t"/>
          <v:fill focussize="0,0"/>
          <v:stroke/>
          <v:imagedata o:title=""/>
          <o:lock v:ext="edit"/>
        </v:line>
      </w:pict>
    </w:r>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47B5"/>
    <w:rsid w:val="00D62FE0"/>
    <w:rsid w:val="00DB47DA"/>
    <w:rsid w:val="011662FE"/>
    <w:rsid w:val="015B300B"/>
    <w:rsid w:val="019126B1"/>
    <w:rsid w:val="03B215BD"/>
    <w:rsid w:val="03E563DD"/>
    <w:rsid w:val="04811578"/>
    <w:rsid w:val="049D6929"/>
    <w:rsid w:val="05FD5174"/>
    <w:rsid w:val="07125D6B"/>
    <w:rsid w:val="07A22038"/>
    <w:rsid w:val="07F6331D"/>
    <w:rsid w:val="081433FF"/>
    <w:rsid w:val="0866484A"/>
    <w:rsid w:val="08AF38B7"/>
    <w:rsid w:val="08C9577B"/>
    <w:rsid w:val="09851FB9"/>
    <w:rsid w:val="0AE44215"/>
    <w:rsid w:val="0C2D2773"/>
    <w:rsid w:val="0CC1767E"/>
    <w:rsid w:val="0DE1402D"/>
    <w:rsid w:val="0E594764"/>
    <w:rsid w:val="0E5F6936"/>
    <w:rsid w:val="1051458B"/>
    <w:rsid w:val="10FC7F7C"/>
    <w:rsid w:val="11261FFC"/>
    <w:rsid w:val="12730AAA"/>
    <w:rsid w:val="145913C3"/>
    <w:rsid w:val="16010527"/>
    <w:rsid w:val="161D37AD"/>
    <w:rsid w:val="17D03874"/>
    <w:rsid w:val="18314892"/>
    <w:rsid w:val="18895737"/>
    <w:rsid w:val="19826B66"/>
    <w:rsid w:val="1ACA15A5"/>
    <w:rsid w:val="1B701893"/>
    <w:rsid w:val="1B9A71FB"/>
    <w:rsid w:val="1D644926"/>
    <w:rsid w:val="1E0679E2"/>
    <w:rsid w:val="1E507DB8"/>
    <w:rsid w:val="1F30615A"/>
    <w:rsid w:val="1F551C9C"/>
    <w:rsid w:val="1F8B7A86"/>
    <w:rsid w:val="1FB73513"/>
    <w:rsid w:val="20245D89"/>
    <w:rsid w:val="205D4C16"/>
    <w:rsid w:val="21C517C9"/>
    <w:rsid w:val="2253747B"/>
    <w:rsid w:val="228F589D"/>
    <w:rsid w:val="238D590A"/>
    <w:rsid w:val="23A02834"/>
    <w:rsid w:val="23E3439E"/>
    <w:rsid w:val="259C7022"/>
    <w:rsid w:val="25FE255B"/>
    <w:rsid w:val="260F3D59"/>
    <w:rsid w:val="26362CBF"/>
    <w:rsid w:val="26AA361A"/>
    <w:rsid w:val="27816C16"/>
    <w:rsid w:val="27954974"/>
    <w:rsid w:val="29331D87"/>
    <w:rsid w:val="299E6A98"/>
    <w:rsid w:val="2A096538"/>
    <w:rsid w:val="2AB05D19"/>
    <w:rsid w:val="2B030917"/>
    <w:rsid w:val="2B5E0F67"/>
    <w:rsid w:val="2C4F0E75"/>
    <w:rsid w:val="2DB3298D"/>
    <w:rsid w:val="2E0B23F6"/>
    <w:rsid w:val="2E42048A"/>
    <w:rsid w:val="2E9535C2"/>
    <w:rsid w:val="2F3769D8"/>
    <w:rsid w:val="2F98679A"/>
    <w:rsid w:val="2FD947E2"/>
    <w:rsid w:val="30702F46"/>
    <w:rsid w:val="313D2294"/>
    <w:rsid w:val="31647056"/>
    <w:rsid w:val="321A44F5"/>
    <w:rsid w:val="322C5776"/>
    <w:rsid w:val="328D7A02"/>
    <w:rsid w:val="32A1519D"/>
    <w:rsid w:val="33E861D3"/>
    <w:rsid w:val="356A4FB1"/>
    <w:rsid w:val="363F5E2D"/>
    <w:rsid w:val="36BD22BD"/>
    <w:rsid w:val="38086043"/>
    <w:rsid w:val="381744A8"/>
    <w:rsid w:val="382A5B08"/>
    <w:rsid w:val="3868400B"/>
    <w:rsid w:val="38880CD0"/>
    <w:rsid w:val="39571FC5"/>
    <w:rsid w:val="39EA584B"/>
    <w:rsid w:val="3AA660B4"/>
    <w:rsid w:val="3B061D57"/>
    <w:rsid w:val="3BAF7989"/>
    <w:rsid w:val="3F822A8A"/>
    <w:rsid w:val="3F903830"/>
    <w:rsid w:val="408706D3"/>
    <w:rsid w:val="40A07680"/>
    <w:rsid w:val="410648F3"/>
    <w:rsid w:val="42D771AE"/>
    <w:rsid w:val="44C42B5F"/>
    <w:rsid w:val="46184AD1"/>
    <w:rsid w:val="46771B56"/>
    <w:rsid w:val="472C607B"/>
    <w:rsid w:val="47A4153F"/>
    <w:rsid w:val="49F92A91"/>
    <w:rsid w:val="4A126716"/>
    <w:rsid w:val="4ABD7835"/>
    <w:rsid w:val="4BD16FB0"/>
    <w:rsid w:val="4C226659"/>
    <w:rsid w:val="4EC027DE"/>
    <w:rsid w:val="4F822A24"/>
    <w:rsid w:val="4FD32ED3"/>
    <w:rsid w:val="50592BEA"/>
    <w:rsid w:val="505F1232"/>
    <w:rsid w:val="50FA73B2"/>
    <w:rsid w:val="5133471D"/>
    <w:rsid w:val="52977792"/>
    <w:rsid w:val="52D06ACC"/>
    <w:rsid w:val="533D0BB1"/>
    <w:rsid w:val="5348580B"/>
    <w:rsid w:val="53E204EF"/>
    <w:rsid w:val="53FD699A"/>
    <w:rsid w:val="548C10AE"/>
    <w:rsid w:val="553819D4"/>
    <w:rsid w:val="55846126"/>
    <w:rsid w:val="56A52AE7"/>
    <w:rsid w:val="56AF49FF"/>
    <w:rsid w:val="57961E25"/>
    <w:rsid w:val="57EE0A87"/>
    <w:rsid w:val="583773EE"/>
    <w:rsid w:val="589A1673"/>
    <w:rsid w:val="58FA7A57"/>
    <w:rsid w:val="5ACA30F8"/>
    <w:rsid w:val="5AD7341B"/>
    <w:rsid w:val="5B4471AA"/>
    <w:rsid w:val="5B625EC1"/>
    <w:rsid w:val="5BED2E50"/>
    <w:rsid w:val="5C5B583D"/>
    <w:rsid w:val="5CC34A42"/>
    <w:rsid w:val="5D6E5D7B"/>
    <w:rsid w:val="5D8B40D4"/>
    <w:rsid w:val="5E541A14"/>
    <w:rsid w:val="5E862DF5"/>
    <w:rsid w:val="5FEB3DF1"/>
    <w:rsid w:val="60A1694D"/>
    <w:rsid w:val="60AB0032"/>
    <w:rsid w:val="60EE17B6"/>
    <w:rsid w:val="60FF6850"/>
    <w:rsid w:val="612E2E61"/>
    <w:rsid w:val="61880FEB"/>
    <w:rsid w:val="618D05CE"/>
    <w:rsid w:val="623C7376"/>
    <w:rsid w:val="63063EF5"/>
    <w:rsid w:val="63243021"/>
    <w:rsid w:val="63244996"/>
    <w:rsid w:val="63F9408B"/>
    <w:rsid w:val="64815E69"/>
    <w:rsid w:val="64882719"/>
    <w:rsid w:val="64AC5B6B"/>
    <w:rsid w:val="653A413B"/>
    <w:rsid w:val="65B354C1"/>
    <w:rsid w:val="66B707C5"/>
    <w:rsid w:val="66C76995"/>
    <w:rsid w:val="66DA4EE7"/>
    <w:rsid w:val="66DF56BE"/>
    <w:rsid w:val="678058D7"/>
    <w:rsid w:val="69443018"/>
    <w:rsid w:val="695375A4"/>
    <w:rsid w:val="69DD4616"/>
    <w:rsid w:val="69F44D4E"/>
    <w:rsid w:val="6A756F3B"/>
    <w:rsid w:val="6ADD3A80"/>
    <w:rsid w:val="6AE22855"/>
    <w:rsid w:val="6BC61023"/>
    <w:rsid w:val="6DB43658"/>
    <w:rsid w:val="6E4A2C41"/>
    <w:rsid w:val="6EB9032B"/>
    <w:rsid w:val="6F03617D"/>
    <w:rsid w:val="6F843906"/>
    <w:rsid w:val="6FCB3BEE"/>
    <w:rsid w:val="70F168D6"/>
    <w:rsid w:val="711225B3"/>
    <w:rsid w:val="716D6BC3"/>
    <w:rsid w:val="71A75E13"/>
    <w:rsid w:val="72ED6648"/>
    <w:rsid w:val="72FF0D20"/>
    <w:rsid w:val="745D3A76"/>
    <w:rsid w:val="756C46F1"/>
    <w:rsid w:val="75C30245"/>
    <w:rsid w:val="778E4681"/>
    <w:rsid w:val="78091507"/>
    <w:rsid w:val="788D15C7"/>
    <w:rsid w:val="79880B95"/>
    <w:rsid w:val="7BC7517F"/>
    <w:rsid w:val="7BCF61F6"/>
    <w:rsid w:val="7BE74319"/>
    <w:rsid w:val="7C5B3953"/>
    <w:rsid w:val="7CE53BCF"/>
    <w:rsid w:val="7DD0388D"/>
    <w:rsid w:val="7E0A279A"/>
    <w:rsid w:val="7F383F79"/>
    <w:rsid w:val="7F485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2022-04-20T03:15:14Z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26855577654D4779AED556AE7C30A6C9</vt:lpwstr>
  </property>
</Properties>
</file>