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0418-2021-Q-2022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杭州每刻科技有限公司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杭州每刻科技有限公司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浙江省杭州市钱塘新区万晶湖畔中心西区2幢1501室</w:t>
            </w:r>
          </w:p>
        </w:tc>
        <w:tc>
          <w:tcPr>
            <w:tcW w:w="1242" w:type="dxa"/>
            <w:vMerge w:val="restart"/>
            <w:vAlign w:val="center"/>
          </w:tcPr>
          <w:p>
            <w:r>
              <w:rPr>
                <w:rFonts w:hint="eastAsia"/>
              </w:rPr>
              <w:t>邮编</w:t>
            </w:r>
          </w:p>
        </w:tc>
        <w:tc>
          <w:tcPr>
            <w:tcW w:w="1771" w:type="dxa"/>
          </w:tcPr>
          <w:p>
            <w:bookmarkStart w:id="6" w:name="注册邮编"/>
            <w:r>
              <w:t>310000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浙江省杭州市钱塘新区万晶湖畔中心西区2幢1501室</w:t>
            </w:r>
          </w:p>
        </w:tc>
        <w:tc>
          <w:tcPr>
            <w:tcW w:w="1242" w:type="dxa"/>
            <w:vMerge w:val="continue"/>
            <w:vAlign w:val="center"/>
          </w:tcPr>
          <w:p/>
        </w:tc>
        <w:tc>
          <w:tcPr>
            <w:tcW w:w="1771" w:type="dxa"/>
          </w:tcPr>
          <w:p>
            <w:bookmarkStart w:id="7" w:name="办公邮编"/>
            <w:r>
              <w:t>310000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8" w:name="联系人"/>
            <w:r>
              <w:t>王丽娟</w:t>
            </w:r>
            <w:bookmarkEnd w:id="8"/>
          </w:p>
        </w:tc>
        <w:tc>
          <w:tcPr>
            <w:tcW w:w="1313" w:type="dxa"/>
            <w:vAlign w:val="center"/>
          </w:tcPr>
          <w:p>
            <w:r>
              <w:rPr>
                <w:rFonts w:hint="eastAsia"/>
              </w:rPr>
              <w:t>电话.</w:t>
            </w:r>
          </w:p>
        </w:tc>
        <w:tc>
          <w:tcPr>
            <w:tcW w:w="2180" w:type="dxa"/>
            <w:vAlign w:val="center"/>
          </w:tcPr>
          <w:p>
            <w:bookmarkStart w:id="9" w:name="联系人电话"/>
            <w:r>
              <w:t>13058808886</w:t>
            </w:r>
            <w:bookmarkEnd w:id="9"/>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魏美钟</w:t>
            </w:r>
            <w:bookmarkEnd w:id="11"/>
          </w:p>
        </w:tc>
        <w:tc>
          <w:tcPr>
            <w:tcW w:w="1313" w:type="dxa"/>
            <w:vAlign w:val="center"/>
          </w:tcPr>
          <w:p>
            <w:r>
              <w:rPr>
                <w:rFonts w:hint="eastAsia"/>
              </w:rPr>
              <w:t>管理者代表</w:t>
            </w:r>
          </w:p>
        </w:tc>
        <w:tc>
          <w:tcPr>
            <w:tcW w:w="2180" w:type="dxa"/>
          </w:tcPr>
          <w:p>
            <w:bookmarkStart w:id="12" w:name="管理者代表"/>
            <w:r>
              <w:t>王丽娟</w:t>
            </w:r>
            <w:bookmarkEnd w:id="12"/>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lang w:val="en-US" w:eastAsia="zh-CN"/>
              </w:rPr>
            </w:pPr>
            <w:r>
              <w:rPr>
                <w:rFonts w:hint="eastAsia"/>
                <w:lang w:val="en-US" w:eastAsia="zh-CN"/>
              </w:rPr>
              <w:t>详见提交证据</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2022年04月15日 下午至2022年04月17日 上午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一</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财务应用软件的研发</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33.02.01</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杭州每刻科技有限公司</w:t>
            </w:r>
          </w:p>
          <w:p>
            <w:pPr>
              <w:pStyle w:val="2"/>
              <w:rPr>
                <w:lang w:val="de-DE" w:eastAsia="ja-JP"/>
              </w:rPr>
            </w:pPr>
            <w:r>
              <w:rPr>
                <w:rFonts w:hint="eastAsia" w:asciiTheme="minorEastAsia" w:hAnsiTheme="minorEastAsia" w:eastAsiaTheme="minorEastAsia"/>
                <w:sz w:val="20"/>
                <w:lang w:eastAsia="zh-CN"/>
              </w:rPr>
              <w:t>浙江省杭州市钱塘新区万晶湖畔中心西区2幢1501室</w:t>
            </w:r>
          </w:p>
        </w:tc>
        <w:tc>
          <w:tcPr>
            <w:tcW w:w="2267" w:type="dxa"/>
          </w:tcPr>
          <w:p>
            <w:pPr>
              <w:rPr>
                <w:lang w:val="de-DE" w:eastAsia="ja-JP"/>
              </w:rPr>
            </w:pPr>
            <w:r>
              <w:rPr>
                <w:rFonts w:hint="eastAsia" w:asciiTheme="minorEastAsia" w:hAnsiTheme="minorEastAsia" w:eastAsiaTheme="minorEastAsia"/>
                <w:sz w:val="20"/>
                <w:lang w:eastAsia="zh-CN"/>
              </w:rPr>
              <w:t>浙江省杭州市钱塘新区万晶湖畔中心西区2幢1501室</w:t>
            </w:r>
          </w:p>
        </w:tc>
        <w:tc>
          <w:tcPr>
            <w:tcW w:w="571" w:type="dxa"/>
            <w:vAlign w:val="center"/>
          </w:tcPr>
          <w:p>
            <w:pPr>
              <w:rPr>
                <w:rFonts w:hint="default" w:eastAsia="宋体"/>
                <w:lang w:val="en-US" w:eastAsia="zh-CN"/>
              </w:rPr>
            </w:pPr>
            <w:r>
              <w:rPr>
                <w:rFonts w:hint="eastAsia"/>
                <w:lang w:val="en-US" w:eastAsia="zh-CN"/>
              </w:rPr>
              <w:t>148</w:t>
            </w:r>
          </w:p>
        </w:tc>
        <w:tc>
          <w:tcPr>
            <w:tcW w:w="2803" w:type="dxa"/>
            <w:vAlign w:val="center"/>
          </w:tcPr>
          <w:p>
            <w:pPr>
              <w:rPr>
                <w:lang w:eastAsia="ja-JP"/>
              </w:rPr>
            </w:pPr>
            <w:r>
              <w:rPr>
                <w:sz w:val="20"/>
              </w:rPr>
              <w:t>财务应用软件的研发</w:t>
            </w:r>
          </w:p>
        </w:tc>
        <w:tc>
          <w:tcPr>
            <w:tcW w:w="669" w:type="dxa"/>
            <w:vAlign w:val="center"/>
          </w:tcPr>
          <w:p>
            <w:pPr>
              <w:rPr>
                <w:lang w:eastAsia="ja-JP"/>
              </w:rPr>
            </w:pPr>
            <w:r>
              <w:rPr>
                <w:rFonts w:ascii="宋体" w:hAnsi="宋体" w:cs="宋体"/>
                <w:color w:val="000000"/>
                <w:kern w:val="0"/>
                <w:szCs w:val="21"/>
              </w:rPr>
              <w:t>Q：GB/T19001-2016</w:t>
            </w:r>
          </w:p>
        </w:tc>
        <w:tc>
          <w:tcPr>
            <w:tcW w:w="668" w:type="dxa"/>
            <w:shd w:val="clear" w:color="auto" w:fill="FFFFFF"/>
            <w:vAlign w:val="top"/>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孙朋飞</w:t>
            </w:r>
          </w:p>
        </w:tc>
        <w:tc>
          <w:tcPr>
            <w:tcW w:w="1089" w:type="dxa"/>
            <w:vAlign w:val="center"/>
          </w:tcPr>
          <w:p>
            <w:r>
              <w:t>组员</w:t>
            </w:r>
          </w:p>
        </w:tc>
        <w:tc>
          <w:tcPr>
            <w:tcW w:w="711" w:type="dxa"/>
            <w:vAlign w:val="center"/>
          </w:tcPr>
          <w:p>
            <w:r>
              <w:t>男</w:t>
            </w:r>
          </w:p>
        </w:tc>
        <w:tc>
          <w:tcPr>
            <w:tcW w:w="3870" w:type="dxa"/>
            <w:vAlign w:val="center"/>
          </w:tcPr>
          <w:p>
            <w:r>
              <w:t>ISC-JSZJ-273</w:t>
            </w:r>
          </w:p>
          <w:p>
            <w:r>
              <w:t>浙江科进英华信息技术有限公司</w:t>
            </w:r>
          </w:p>
        </w:tc>
        <w:tc>
          <w:tcPr>
            <w:tcW w:w="2179" w:type="dxa"/>
            <w:vAlign w:val="center"/>
          </w:tcPr>
          <w:p>
            <w: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bookmarkStart w:id="32" w:name="_GoBack"/>
            <w:bookmarkEnd w:id="32"/>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392430</wp:posOffset>
                  </wp:positionH>
                  <wp:positionV relativeFrom="paragraph">
                    <wp:posOffset>43180</wp:posOffset>
                  </wp:positionV>
                  <wp:extent cx="718820" cy="323215"/>
                  <wp:effectExtent l="0" t="0" r="5080" b="6985"/>
                  <wp:wrapNone/>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718820" cy="32321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lang w:eastAsia="zh-CN"/>
        </w:rPr>
      </w:pPr>
      <w:r>
        <w:rPr>
          <w:shd w:val="clear" w:color="FFFFFF" w:fill="D9D9D9"/>
          <w:lang w:eastAsia="zh-CN"/>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pPr w:leftFromText="180" w:rightFromText="180" w:vertAnchor="text" w:horzAnchor="page" w:tblpX="98" w:tblpY="296"/>
              <w:tblOverlap w:val="never"/>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4513"/>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51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主管部门</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遵守质量相关的法律法规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000000" w:themeColor="text1"/>
                      <w:lang w:val="en-US" w:eastAsia="zh-CN"/>
                    </w:rPr>
                  </w:pPr>
                  <w:r>
                    <w:rPr>
                      <w:rFonts w:hint="eastAsia"/>
                      <w:highlight w:val="none"/>
                    </w:rPr>
                    <w:sym w:font="Wingdings 2" w:char="0052"/>
                  </w:r>
                  <w:r>
                    <w:rPr>
                      <w:rFonts w:hint="eastAsia"/>
                      <w:highlight w:val="none"/>
                      <w:lang w:val="en-US" w:eastAsia="zh-CN"/>
                    </w:rPr>
                    <w:t>遵守检验检测相关的法律法规</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供方</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组织的持续经营、明示采购要求</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lang w:val="en-US" w:eastAsia="zh-CN"/>
                    </w:rPr>
                    <w:t>顾客</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产品/服务质量持续满足要求</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szCs w:val="24"/>
                    </w:rPr>
                  </w:pPr>
                  <w:r>
                    <w:rPr>
                      <w:rFonts w:hint="eastAsia"/>
                      <w:highlight w:val="none"/>
                    </w:rPr>
                    <w:sym w:font="Wingdings 2" w:char="0052"/>
                  </w:r>
                  <w:r>
                    <w:rPr>
                      <w:rFonts w:hint="eastAsia"/>
                      <w:highlight w:val="none"/>
                      <w:vertAlign w:val="baseline"/>
                      <w:lang w:val="en-US" w:eastAsia="zh-CN"/>
                    </w:rPr>
                    <w:t>员工</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组织的持续经营、自我发展</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lang w:eastAsia="zh-CN"/>
                    </w:rPr>
                    <w:sym w:font="Wingdings 2" w:char="0052"/>
                  </w:r>
                  <w:r>
                    <w:rPr>
                      <w:rFonts w:hint="eastAsia"/>
                      <w:highlight w:val="none"/>
                      <w:lang w:val="en-US" w:eastAsia="zh-CN"/>
                    </w:rPr>
                    <w:t>投资方</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组织的持续经营、盈利</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513" w:type="dxa"/>
                </w:tcPr>
                <w:p>
                  <w:pPr>
                    <w:keepNext w:val="0"/>
                    <w:keepLines w:val="0"/>
                    <w:suppressLineNumbers w:val="0"/>
                    <w:spacing w:before="0" w:beforeAutospacing="0" w:after="0" w:afterAutospacing="0"/>
                    <w:ind w:left="0" w:right="0"/>
                    <w:rPr>
                      <w:rFonts w:hint="eastAsia"/>
                      <w:color w:val="000000" w:themeColor="text1"/>
                    </w:rPr>
                  </w:pP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A3"/>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w:t>
            </w:r>
            <w:r>
              <w:rPr>
                <w:rFonts w:hint="eastAsia"/>
              </w:rPr>
              <w:sym w:font="Wingdings 2" w:char="0052"/>
            </w:r>
            <w:r>
              <w:rPr>
                <w:rFonts w:hint="eastAsia"/>
              </w:rPr>
              <w:t xml:space="preserve">知识保密 </w:t>
            </w:r>
          </w:p>
          <w:p>
            <w:pPr>
              <w:keepNext w:val="0"/>
              <w:keepLines w:val="0"/>
              <w:suppressLineNumbers w:val="0"/>
              <w:spacing w:before="40" w:beforeAutospacing="0" w:after="40" w:afterAutospacing="0"/>
              <w:ind w:left="0" w:right="0"/>
              <w:rPr>
                <w:rFonts w:hint="eastAsia"/>
              </w:rPr>
            </w:pPr>
            <w:r>
              <w:rPr>
                <w:rFonts w:hint="eastAsia"/>
              </w:rPr>
              <w:t xml:space="preserve"> </w:t>
            </w:r>
            <w:r>
              <w:rPr>
                <w:rFonts w:hint="eastAsia"/>
              </w:rPr>
              <w:sym w:font="Wingdings 2" w:char="0052"/>
            </w: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A3"/>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□新产品设计开发 □原材料订制 </w:t>
            </w:r>
            <w:r>
              <w:rPr>
                <w:rFonts w:hint="eastAsia"/>
              </w:rPr>
              <w:sym w:font="Wingdings 2" w:char="00A3"/>
            </w:r>
            <w:r>
              <w:rPr>
                <w:rFonts w:hint="eastAsia"/>
              </w:rPr>
              <w:t xml:space="preserve">生产/服务过程 </w:t>
            </w:r>
            <w:r>
              <w:rPr>
                <w:rFonts w:hint="eastAsia"/>
              </w:rPr>
              <w:sym w:font="Wingdings 2" w:char="00A3"/>
            </w:r>
            <w:r>
              <w:rPr>
                <w:rFonts w:hint="eastAsia"/>
              </w:rPr>
              <w:t>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u w:val="single"/>
                <w:lang w:eastAsia="zh-CN"/>
              </w:rPr>
              <w:t>智能云财务领导者。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QMS的主管部门是——</w:t>
            </w:r>
            <w:r>
              <w:rPr>
                <w:rFonts w:hint="eastAsia"/>
                <w:lang w:val="en-US" w:eastAsia="zh-CN"/>
              </w:rPr>
              <w:t>客户运营中心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42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主要的风险描述</w:t>
                  </w:r>
                </w:p>
              </w:tc>
              <w:tc>
                <w:tcPr>
                  <w:tcW w:w="42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hint="eastAsia" w:ascii="宋体" w:hAnsi="宋体"/>
                      <w:color w:val="333333"/>
                      <w:sz w:val="18"/>
                      <w:szCs w:val="18"/>
                    </w:rPr>
                  </w:pPr>
                  <w:r>
                    <w:rPr>
                      <w:rFonts w:hint="eastAsia" w:ascii="宋体" w:hAnsi="宋体"/>
                      <w:color w:val="333333"/>
                      <w:sz w:val="18"/>
                      <w:szCs w:val="18"/>
                    </w:rPr>
                    <w:t>1.对市场需要</w:t>
                  </w:r>
                  <w:r>
                    <w:rPr>
                      <w:rFonts w:hint="eastAsia" w:ascii="宋体" w:hAnsi="宋体"/>
                      <w:color w:val="333333"/>
                      <w:sz w:val="18"/>
                      <w:szCs w:val="18"/>
                      <w:lang w:eastAsia="zh-CN"/>
                    </w:rPr>
                    <w:t>服务</w:t>
                  </w:r>
                  <w:r>
                    <w:rPr>
                      <w:rFonts w:hint="eastAsia" w:ascii="宋体" w:hAnsi="宋体"/>
                      <w:color w:val="333333"/>
                      <w:sz w:val="18"/>
                      <w:szCs w:val="18"/>
                    </w:rPr>
                    <w:t xml:space="preserve">的发展趋势判断失误。 </w:t>
                  </w:r>
                </w:p>
                <w:p>
                  <w:pPr>
                    <w:rPr>
                      <w:rFonts w:hint="eastAsia" w:ascii="宋体" w:hAnsi="宋体"/>
                      <w:color w:val="333333"/>
                      <w:sz w:val="18"/>
                      <w:szCs w:val="18"/>
                    </w:rPr>
                  </w:pPr>
                  <w:r>
                    <w:rPr>
                      <w:rFonts w:hint="eastAsia" w:ascii="宋体" w:hAnsi="宋体"/>
                      <w:color w:val="333333"/>
                      <w:sz w:val="18"/>
                      <w:szCs w:val="18"/>
                    </w:rPr>
                    <w:t>2.客户要求识别不完整。</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ascii="宋体" w:hAnsi="宋体"/>
                      <w:color w:val="333333"/>
                      <w:sz w:val="18"/>
                      <w:szCs w:val="18"/>
                    </w:rPr>
                    <w:t>3.未能确保能够满足客户要求就签署合同。</w:t>
                  </w:r>
                </w:p>
              </w:tc>
              <w:tc>
                <w:tcPr>
                  <w:tcW w:w="4224" w:type="dxa"/>
                </w:tcPr>
                <w:p>
                  <w:pPr>
                    <w:rPr>
                      <w:rFonts w:hint="eastAsia" w:ascii="宋体" w:hAnsi="宋体"/>
                      <w:color w:val="333333"/>
                      <w:sz w:val="18"/>
                      <w:szCs w:val="18"/>
                    </w:rPr>
                  </w:pPr>
                  <w:r>
                    <w:rPr>
                      <w:rFonts w:hint="eastAsia" w:ascii="宋体" w:hAnsi="宋体"/>
                      <w:color w:val="333333"/>
                      <w:sz w:val="18"/>
                      <w:szCs w:val="18"/>
                    </w:rPr>
                    <w:t>1.对市场需求</w:t>
                  </w:r>
                  <w:r>
                    <w:rPr>
                      <w:rFonts w:hint="eastAsia" w:ascii="宋体" w:hAnsi="宋体"/>
                      <w:color w:val="333333"/>
                      <w:sz w:val="18"/>
                      <w:szCs w:val="18"/>
                      <w:lang w:eastAsia="zh-CN"/>
                    </w:rPr>
                    <w:t>服务</w:t>
                  </w:r>
                  <w:r>
                    <w:rPr>
                      <w:rFonts w:hint="eastAsia" w:ascii="宋体" w:hAnsi="宋体"/>
                      <w:color w:val="333333"/>
                      <w:sz w:val="18"/>
                      <w:szCs w:val="18"/>
                    </w:rPr>
                    <w:t>的发展趋势分析应该经过反复论证。</w:t>
                  </w:r>
                </w:p>
                <w:p>
                  <w:pPr>
                    <w:rPr>
                      <w:rFonts w:hint="eastAsia" w:ascii="宋体" w:hAnsi="宋体"/>
                      <w:color w:val="333333"/>
                      <w:sz w:val="18"/>
                      <w:szCs w:val="18"/>
                    </w:rPr>
                  </w:pPr>
                  <w:r>
                    <w:rPr>
                      <w:rFonts w:hint="eastAsia" w:ascii="宋体" w:hAnsi="宋体"/>
                      <w:color w:val="333333"/>
                      <w:sz w:val="18"/>
                      <w:szCs w:val="18"/>
                    </w:rPr>
                    <w:t xml:space="preserve">2.对客户的要求实施监视和测量。 </w:t>
                  </w:r>
                </w:p>
                <w:p>
                  <w:pPr>
                    <w:rPr>
                      <w:rFonts w:hint="eastAsia" w:ascii="宋体" w:hAnsi="宋体"/>
                      <w:color w:val="333333"/>
                      <w:sz w:val="18"/>
                      <w:szCs w:val="18"/>
                    </w:rPr>
                  </w:pPr>
                  <w:r>
                    <w:rPr>
                      <w:rFonts w:hint="eastAsia" w:ascii="宋体" w:hAnsi="宋体"/>
                      <w:color w:val="333333"/>
                      <w:sz w:val="18"/>
                      <w:szCs w:val="18"/>
                    </w:rPr>
                    <w:t>3.在确定与客户签署合同前落实合同评审事宜。</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top"/>
                </w:tcPr>
                <w:p>
                  <w:pPr>
                    <w:rPr>
                      <w:rFonts w:hint="eastAsia" w:ascii="宋体" w:hAnsi="宋体"/>
                      <w:color w:val="333333"/>
                      <w:sz w:val="18"/>
                      <w:szCs w:val="18"/>
                    </w:rPr>
                  </w:pPr>
                  <w:r>
                    <w:rPr>
                      <w:rFonts w:hint="eastAsia" w:ascii="宋体" w:hAnsi="宋体"/>
                      <w:color w:val="333333"/>
                      <w:sz w:val="18"/>
                      <w:szCs w:val="18"/>
                    </w:rPr>
                    <w:t xml:space="preserve">设备能力不足。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bCs/>
                      <w:color w:val="auto"/>
                      <w:kern w:val="2"/>
                      <w:sz w:val="21"/>
                      <w:szCs w:val="24"/>
                      <w:vertAlign w:val="baseline"/>
                      <w:lang w:val="en-US" w:eastAsia="zh-CN" w:bidi="ar-SA"/>
                    </w:rPr>
                  </w:pPr>
                  <w:r>
                    <w:rPr>
                      <w:rFonts w:hint="eastAsia" w:ascii="宋体" w:hAnsi="宋体"/>
                      <w:color w:val="333333"/>
                      <w:sz w:val="18"/>
                      <w:szCs w:val="18"/>
                    </w:rPr>
                    <w:t>设备经常损坏，影响</w:t>
                  </w:r>
                  <w:r>
                    <w:rPr>
                      <w:rFonts w:hint="eastAsia" w:ascii="宋体" w:hAnsi="宋体"/>
                      <w:color w:val="333333"/>
                      <w:sz w:val="18"/>
                      <w:szCs w:val="18"/>
                      <w:lang w:eastAsia="zh-CN"/>
                    </w:rPr>
                    <w:t>服务</w:t>
                  </w:r>
                  <w:r>
                    <w:rPr>
                      <w:rFonts w:hint="eastAsia" w:ascii="宋体" w:hAnsi="宋体"/>
                      <w:color w:val="333333"/>
                      <w:sz w:val="18"/>
                      <w:szCs w:val="18"/>
                    </w:rPr>
                    <w:t>进度。</w:t>
                  </w:r>
                </w:p>
              </w:tc>
              <w:tc>
                <w:tcPr>
                  <w:tcW w:w="4224" w:type="dxa"/>
                </w:tcPr>
                <w:p>
                  <w:pPr>
                    <w:rPr>
                      <w:rFonts w:hint="eastAsia" w:ascii="宋体" w:hAnsi="宋体"/>
                      <w:color w:val="333333"/>
                      <w:sz w:val="18"/>
                      <w:szCs w:val="18"/>
                    </w:rPr>
                  </w:pPr>
                  <w:r>
                    <w:rPr>
                      <w:rFonts w:hint="eastAsia" w:ascii="宋体" w:hAnsi="宋体"/>
                      <w:color w:val="333333"/>
                      <w:sz w:val="18"/>
                      <w:szCs w:val="18"/>
                    </w:rPr>
                    <w:t xml:space="preserve">1.设备的保养及备件储备。 </w:t>
                  </w:r>
                </w:p>
                <w:p>
                  <w:pPr>
                    <w:rPr>
                      <w:rFonts w:hint="eastAsia"/>
                      <w:color w:val="auto"/>
                      <w:vertAlign w:val="baseline"/>
                      <w:lang w:val="en-US" w:eastAsia="zh-CN"/>
                    </w:rPr>
                  </w:pPr>
                  <w:r>
                    <w:rPr>
                      <w:rFonts w:hint="eastAsia" w:ascii="宋体" w:hAnsi="宋体"/>
                      <w:color w:val="333333"/>
                      <w:sz w:val="18"/>
                      <w:szCs w:val="18"/>
                    </w:rPr>
                    <w:t>2.建立完整的设备故障应急预案， 以确保</w:t>
                  </w:r>
                  <w:r>
                    <w:rPr>
                      <w:rFonts w:hint="eastAsia" w:ascii="宋体" w:hAnsi="宋体"/>
                      <w:color w:val="333333"/>
                      <w:sz w:val="18"/>
                      <w:szCs w:val="18"/>
                      <w:lang w:eastAsia="zh-CN"/>
                    </w:rPr>
                    <w:t>服务</w:t>
                  </w:r>
                  <w:r>
                    <w:rPr>
                      <w:rFonts w:hint="eastAsia" w:ascii="宋体" w:hAnsi="宋体"/>
                      <w:color w:val="333333"/>
                      <w:sz w:val="18"/>
                      <w:szCs w:val="18"/>
                    </w:rPr>
                    <w:t xml:space="preserve">过程的持续流畅。 </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bl>
          <w:p>
            <w:pPr>
              <w:pStyle w:val="2"/>
              <w:keepNext w:val="0"/>
              <w:keepLines w:val="0"/>
              <w:suppressLineNumbers w:val="0"/>
              <w:spacing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tbl>
            <w:tblPr>
              <w:tblStyle w:val="9"/>
              <w:tblpPr w:leftFromText="180" w:rightFromText="180" w:vertAnchor="text" w:horzAnchor="page" w:tblpX="93" w:tblpY="29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954"/>
              <w:gridCol w:w="2794"/>
              <w:gridCol w:w="101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shd w:val="clear" w:color="auto" w:fill="auto"/>
                  <w:vAlign w:val="top"/>
                </w:tcPr>
                <w:p>
                  <w:pPr>
                    <w:tabs>
                      <w:tab w:val="left" w:pos="855"/>
                    </w:tabs>
                    <w:snapToGrid w:val="0"/>
                    <w:jc w:val="center"/>
                    <w:rPr>
                      <w:rFonts w:hint="default" w:ascii="宋体" w:hAnsi="宋体"/>
                      <w:kern w:val="2"/>
                      <w:szCs w:val="24"/>
                      <w:lang w:val="en-US" w:eastAsia="zh-CN"/>
                    </w:rPr>
                  </w:pPr>
                  <w:r>
                    <w:rPr>
                      <w:rFonts w:hint="eastAsia" w:ascii="宋体" w:hAnsi="宋体" w:eastAsia="宋体" w:cs="宋体"/>
                      <w:sz w:val="21"/>
                      <w:szCs w:val="21"/>
                    </w:rPr>
                    <w:t>目标项目</w:t>
                  </w:r>
                </w:p>
              </w:tc>
              <w:tc>
                <w:tcPr>
                  <w:tcW w:w="954" w:type="dxa"/>
                  <w:shd w:val="clear" w:color="auto" w:fill="auto"/>
                  <w:vAlign w:val="top"/>
                </w:tcPr>
                <w:p>
                  <w:pPr>
                    <w:tabs>
                      <w:tab w:val="left" w:pos="855"/>
                    </w:tabs>
                    <w:snapToGrid w:val="0"/>
                    <w:jc w:val="center"/>
                    <w:rPr>
                      <w:rFonts w:hint="eastAsia" w:ascii="宋体" w:hAnsi="宋体"/>
                      <w:kern w:val="2"/>
                      <w:szCs w:val="24"/>
                      <w:lang w:val="en-US" w:eastAsia="zh-CN"/>
                    </w:rPr>
                  </w:pPr>
                  <w:r>
                    <w:rPr>
                      <w:rFonts w:hint="eastAsia" w:ascii="宋体" w:hAnsi="宋体" w:eastAsia="宋体" w:cs="宋体"/>
                      <w:sz w:val="21"/>
                      <w:szCs w:val="21"/>
                    </w:rPr>
                    <w:t>目标值</w:t>
                  </w:r>
                </w:p>
              </w:tc>
              <w:tc>
                <w:tcPr>
                  <w:tcW w:w="2794"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01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629"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目标实际完成（2022.03）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顾客满意率≥</w:t>
                  </w:r>
                  <w:r>
                    <w:rPr>
                      <w:rFonts w:hint="eastAsia" w:ascii="宋体" w:hAnsi="宋体" w:cs="宋体"/>
                      <w:szCs w:val="21"/>
                      <w:lang w:val="en-US" w:eastAsia="zh-CN"/>
                    </w:rPr>
                    <w:t>80</w:t>
                  </w:r>
                  <w:r>
                    <w:rPr>
                      <w:rFonts w:hint="eastAsia" w:ascii="宋体" w:hAnsi="宋体" w:cs="宋体"/>
                      <w:szCs w:val="21"/>
                    </w:rPr>
                    <w:t>分</w:t>
                  </w:r>
                </w:p>
              </w:tc>
              <w:tc>
                <w:tcPr>
                  <w:tcW w:w="954"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0%</w:t>
                  </w:r>
                </w:p>
              </w:tc>
              <w:tc>
                <w:tcPr>
                  <w:tcW w:w="2794"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业主满意度调查</w:t>
                  </w:r>
                </w:p>
              </w:tc>
              <w:tc>
                <w:tcPr>
                  <w:tcW w:w="101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客户运营中心</w:t>
                  </w:r>
                </w:p>
              </w:tc>
              <w:tc>
                <w:tcPr>
                  <w:tcW w:w="1629" w:type="dxa"/>
                  <w:shd w:val="clear" w:color="auto" w:fill="auto"/>
                  <w:vAlign w:val="top"/>
                </w:tcPr>
                <w:p>
                  <w:pPr>
                    <w:tabs>
                      <w:tab w:val="left" w:pos="855"/>
                    </w:tabs>
                    <w:snapToGrid w:val="0"/>
                    <w:jc w:val="center"/>
                    <w:rPr>
                      <w:rFonts w:hint="default" w:ascii="宋体" w:hAnsi="宋体" w:cs="Times New Roman"/>
                      <w:lang w:val="en-US" w:eastAsia="zh-CN"/>
                    </w:rPr>
                  </w:pPr>
                  <w:r>
                    <w:rPr>
                      <w:rFonts w:hint="eastAsia" w:ascii="宋体" w:hAnsi="宋体" w:eastAsia="宋体" w:cs="宋体"/>
                      <w:sz w:val="21"/>
                      <w:szCs w:val="21"/>
                      <w:lang w:val="en-US" w:eastAsia="zh-CN"/>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shd w:val="clear" w:color="auto" w:fill="auto"/>
                  <w:vAlign w:val="top"/>
                </w:tcPr>
                <w:p>
                  <w:pPr>
                    <w:tabs>
                      <w:tab w:val="left" w:pos="855"/>
                    </w:tabs>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流出缺陷密度</w:t>
                  </w:r>
                </w:p>
              </w:tc>
              <w:tc>
                <w:tcPr>
                  <w:tcW w:w="954" w:type="dxa"/>
                  <w:shd w:val="clear" w:color="auto" w:fill="auto"/>
                  <w:vAlign w:val="top"/>
                </w:tcPr>
                <w:p>
                  <w:pPr>
                    <w:tabs>
                      <w:tab w:val="left" w:pos="855"/>
                    </w:tabs>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Hans"/>
                    </w:rPr>
                    <w:t>个</w:t>
                  </w:r>
                  <w:r>
                    <w:rPr>
                      <w:rFonts w:hint="default" w:ascii="宋体" w:hAnsi="宋体" w:eastAsia="宋体" w:cs="宋体"/>
                      <w:sz w:val="21"/>
                      <w:szCs w:val="21"/>
                      <w:lang w:val="en-US" w:eastAsia="zh-Hans"/>
                    </w:rPr>
                    <w:t>/SP</w:t>
                  </w:r>
                </w:p>
              </w:tc>
              <w:tc>
                <w:tcPr>
                  <w:tcW w:w="2794"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流出缺陷密度=流出缺陷个数/故事点数</w:t>
                  </w:r>
                </w:p>
                <w:p>
                  <w:pPr>
                    <w:tabs>
                      <w:tab w:val="left" w:pos="855"/>
                    </w:tabs>
                    <w:snapToGrid w:val="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按产品线统计，公司目标取产品线各迭代平均值的最低值（质量保证部统计）</w:t>
                  </w:r>
                </w:p>
              </w:tc>
              <w:tc>
                <w:tcPr>
                  <w:tcW w:w="101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客户运营中心</w:t>
                  </w:r>
                </w:p>
              </w:tc>
              <w:tc>
                <w:tcPr>
                  <w:tcW w:w="1629" w:type="dxa"/>
                  <w:shd w:val="clear" w:color="auto" w:fill="auto"/>
                  <w:vAlign w:val="top"/>
                </w:tcPr>
                <w:p>
                  <w:pPr>
                    <w:tabs>
                      <w:tab w:val="left" w:pos="855"/>
                    </w:tabs>
                    <w:snapToGrid w:val="0"/>
                    <w:jc w:val="center"/>
                    <w:rPr>
                      <w:rFonts w:hint="default" w:ascii="宋体" w:hAnsi="宋体" w:cs="Times New Roman"/>
                      <w:lang w:val="en-US" w:eastAsia="zh-CN"/>
                    </w:rPr>
                  </w:pPr>
                  <w:r>
                    <w:rPr>
                      <w:rFonts w:hint="eastAsia" w:ascii="宋体" w:hAnsi="宋体" w:eastAsia="宋体" w:cs="宋体"/>
                      <w:sz w:val="21"/>
                      <w:szCs w:val="21"/>
                      <w:lang w:val="en-US" w:eastAsia="zh-CN"/>
                    </w:rPr>
                    <w:t>0.18</w:t>
                  </w:r>
                </w:p>
              </w:tc>
            </w:tr>
          </w:tbl>
          <w:p>
            <w:pPr>
              <w:keepNext w:val="0"/>
              <w:keepLines w:val="0"/>
              <w:suppressLineNumbers w:val="0"/>
              <w:spacing w:before="0" w:beforeAutospacing="0" w:after="0" w:afterAutospacing="0"/>
              <w:ind w:left="0" w:right="0"/>
              <w:rPr>
                <w:rFonts w:hint="eastAsia"/>
              </w:rPr>
            </w:pPr>
            <w:r>
              <w:rPr>
                <w:rFonts w:hint="eastAsia"/>
              </w:rPr>
              <w:t>总质量目标实现情况的评价：</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w:t>
            </w:r>
            <w:r>
              <w:rPr>
                <w:rFonts w:hint="eastAsia"/>
                <w:lang w:eastAsia="zh-CN"/>
              </w:rPr>
              <w:t>生产</w:t>
            </w:r>
            <w:r>
              <w:rPr>
                <w:rFonts w:hint="eastAsia"/>
              </w:rPr>
              <w:t>设备有</w:t>
            </w:r>
            <w:r>
              <w:rPr>
                <w:rFonts w:hint="eastAsia"/>
                <w:u w:val="single"/>
                <w:lang w:val="en-US" w:eastAsia="zh-CN"/>
              </w:rPr>
              <w:t>电脑</w:t>
            </w:r>
            <w:r>
              <w:rPr>
                <w:rFonts w:hint="eastAsia"/>
                <w:color w:val="auto"/>
                <w:u w:val="single"/>
                <w:lang w:val="en-US" w:eastAsia="zh-CN"/>
              </w:rPr>
              <w:t>、业务操作系统</w:t>
            </w:r>
            <w:r>
              <w:rPr>
                <w:rFonts w:hint="eastAsia"/>
                <w:u w:val="single"/>
              </w:rPr>
              <w:t xml:space="preserve">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A8"/>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auto"/>
                <w:u w:val="single"/>
                <w:lang w:val="en-US" w:eastAsia="zh-CN"/>
              </w:rPr>
              <w:t xml:space="preserve">  无</w:t>
            </w:r>
            <w:r>
              <w:rPr>
                <w:rFonts w:hint="eastAsia"/>
                <w:u w:val="single"/>
              </w:rPr>
              <w:t xml:space="preserve"> </w:t>
            </w:r>
            <w:r>
              <w:rPr>
                <w:rFonts w:hint="eastAsia"/>
                <w:color w:val="000000" w:themeColor="text1"/>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A8"/>
            </w:r>
            <w:r>
              <w:rPr>
                <w:rFonts w:hint="eastAsia"/>
                <w:lang w:val="en-US" w:eastAsia="zh-CN"/>
              </w:rPr>
              <w:t>研发</w:t>
            </w:r>
            <w:r>
              <w:rPr>
                <w:rFonts w:hint="eastAsia"/>
              </w:rPr>
              <w:t xml:space="preserve">经验  </w:t>
            </w:r>
            <w:r>
              <w:rPr>
                <w:rFonts w:hint="eastAsia"/>
              </w:rPr>
              <w:sym w:font="Wingdings" w:char="00FE"/>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A8"/>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lang w:val="en-US" w:eastAsia="zh-CN"/>
              </w:rPr>
              <w:t>电焊工</w:t>
            </w:r>
            <w:r>
              <w:rPr>
                <w:rFonts w:hint="eastAsia"/>
              </w:rPr>
              <w:t xml:space="preserve">   </w:t>
            </w:r>
            <w:r>
              <w:rPr>
                <w:rFonts w:hint="eastAsia"/>
              </w:rPr>
              <w:sym w:font="Wingdings" w:char="00A8"/>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A8"/>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w:t>
            </w:r>
            <w:r>
              <w:rPr>
                <w:rFonts w:hint="eastAsia"/>
                <w:color w:val="auto"/>
              </w:rPr>
              <w:t>名称：</w:t>
            </w:r>
            <w:r>
              <w:rPr>
                <w:rFonts w:hint="eastAsia"/>
                <w:color w:val="auto"/>
                <w:u w:val="single"/>
              </w:rPr>
              <w:t xml:space="preserve">     费控产品线旗舰版项目</w:t>
            </w:r>
            <w:r>
              <w:rPr>
                <w:rFonts w:hint="eastAsia"/>
                <w:color w:val="auto"/>
                <w:u w:val="single"/>
                <w:lang w:val="en-US" w:eastAsia="zh-CN"/>
              </w:rPr>
              <w:t>迭代测试</w:t>
            </w:r>
            <w:r>
              <w:rPr>
                <w:rFonts w:hint="eastAsia"/>
                <w:color w:val="auto"/>
                <w:u w:val="single"/>
              </w:rPr>
              <w:t xml:space="preserve">      </w:t>
            </w:r>
            <w:r>
              <w:rPr>
                <w:rFonts w:hint="eastAsia"/>
                <w:color w:val="FF0000"/>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281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2818"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Pr>
                <w:p>
                  <w:pPr>
                    <w:keepNext w:val="0"/>
                    <w:keepLines w:val="0"/>
                    <w:suppressLineNumbers w:val="0"/>
                    <w:spacing w:before="0" w:beforeAutospacing="0" w:after="0" w:afterAutospacing="0"/>
                    <w:ind w:left="0" w:right="0"/>
                    <w:jc w:val="left"/>
                    <w:rPr>
                      <w:rFonts w:hint="eastAsia"/>
                    </w:rPr>
                  </w:pPr>
                  <w:r>
                    <w:rPr>
                      <w:sz w:val="20"/>
                    </w:rPr>
                    <w:t>财务应用软件的研发</w:t>
                  </w:r>
                </w:p>
              </w:tc>
              <w:tc>
                <w:tcPr>
                  <w:tcW w:w="2818"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设计研发</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作业规程</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A8"/>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lang w:eastAsia="zh-CN"/>
              </w:rPr>
            </w:pPr>
            <w:r>
              <w:rPr>
                <w:rFonts w:hint="eastAsia"/>
              </w:rPr>
              <w:t>目前交付后活动：</w:t>
            </w:r>
            <w:r>
              <w:rPr>
                <w:rFonts w:hint="eastAsia"/>
              </w:rPr>
              <w:sym w:font="Wingdings" w:char="00A8"/>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内部进行沟通完善</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FE"/>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eastAsia="zh-CN"/>
              </w:rPr>
              <w:t>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w:t>
            </w:r>
            <w:r>
              <w:rPr>
                <w:rFonts w:hint="eastAsia"/>
                <w:lang w:val="en-US" w:eastAsia="zh-CN"/>
              </w:rPr>
              <w:t>1</w:t>
            </w:r>
            <w:r>
              <w:rPr>
                <w:rFonts w:hint="eastAsia"/>
                <w:lang w:eastAsia="zh-CN"/>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w:t>
            </w:r>
            <w:r>
              <w:rPr>
                <w:rFonts w:hint="eastAsia" w:ascii="宋体" w:hAnsi="宋体" w:cs="宋体"/>
                <w:szCs w:val="21"/>
                <w:u w:val="single"/>
                <w:lang w:val="en-US" w:eastAsia="zh-CN"/>
              </w:rPr>
              <w:t xml:space="preserve"> 2022年4月9 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US" w:eastAsia="zh-CN"/>
              </w:rPr>
              <w:t>1</w:t>
            </w: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rPr>
          <w:rFonts w:eastAsia="微软雅黑"/>
        </w:rPr>
      </w:pPr>
      <w:r>
        <w:rPr>
          <w:lang w:eastAsia="zh-CN"/>
        </w:rPr>
        <w:br w:type="page"/>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9151A"/>
    <w:rsid w:val="1EE3130C"/>
    <w:rsid w:val="3A5D4281"/>
    <w:rsid w:val="54541F71"/>
    <w:rsid w:val="77D24E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left="360"/>
    </w:pPr>
    <w:rPr>
      <w:sz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18601</Words>
  <Characters>19286</Characters>
  <Lines>150</Lines>
  <Paragraphs>42</Paragraphs>
  <TotalTime>0</TotalTime>
  <ScaleCrop>false</ScaleCrop>
  <LinksUpToDate>false</LinksUpToDate>
  <CharactersWithSpaces>19407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2022-04-22T12:34:27Z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eyJoZGlkIjoiMDc4ZWJiZGY2YjU2MmRhNjg4NDA1NWJhMzhhZTVmYzcifQ==</vt:lpwstr>
  </property>
</Properties>
</file>