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邯郸市军威泵业制造有限公司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冯雪峥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客户接触----合同评审----签订合同--填立项单---生产部排产--原材料（钢材、铸件毛坯）---剪切--折弯--冲孔--焊接--组装--成品---交付前检验--贴标签--包装出库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焊接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组装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GB/T16907-2014</w:t>
            </w:r>
            <w:r>
              <w:rPr>
                <w:rFonts w:hint="eastAsia"/>
              </w:rPr>
              <w:t>《离心泵技术条件(Ⅰ类)》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119380</wp:posOffset>
                  </wp:positionV>
                  <wp:extent cx="570865" cy="47371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62230</wp:posOffset>
                  </wp:positionV>
                  <wp:extent cx="570865" cy="47371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邯郸市军威泵业制造有限公司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冯雪峥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客户接触----合同评审----签订合同--填立项单---生产部排产--原材料（钢材、铸件毛坯）---剪切--折弯--冲孔--焊接--组装--成品---交付前检验--贴标签--包装出库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火灾、固废排放等基本符合要求。制定有目标指标和管理方案及应急预案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</w:t>
            </w:r>
            <w:bookmarkStart w:id="2" w:name="_GoBack"/>
            <w:bookmarkEnd w:id="2"/>
            <w:r>
              <w:rPr>
                <w:rFonts w:hint="eastAsia" w:eastAsia="宋体"/>
                <w:b/>
                <w:sz w:val="20"/>
                <w:lang w:val="en-GB" w:eastAsia="zh-CN"/>
              </w:rPr>
              <w:t>境防治法、中华人民共和国消防法、GB8978-1996污水综合排放标准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153035</wp:posOffset>
                  </wp:positionV>
                  <wp:extent cx="570865" cy="473710"/>
                  <wp:effectExtent l="0" t="0" r="0" b="0"/>
                  <wp:wrapNone/>
                  <wp:docPr id="4" name="图片 4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114935</wp:posOffset>
                  </wp:positionV>
                  <wp:extent cx="570865" cy="473710"/>
                  <wp:effectExtent l="0" t="0" r="0" b="0"/>
                  <wp:wrapNone/>
                  <wp:docPr id="5" name="图片 5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5FF66356"/>
    <w:rsid w:val="64CA1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2022-05-18T00:23:29Z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