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美的集团武汉暖通设备有限公司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2573655</wp:posOffset>
                  </wp:positionV>
                  <wp:extent cx="5020945" cy="4189095"/>
                  <wp:effectExtent l="0" t="0" r="8255" b="1905"/>
                  <wp:wrapSquare wrapText="bothSides"/>
                  <wp:docPr id="8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0945" cy="418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79375</wp:posOffset>
                  </wp:positionV>
                  <wp:extent cx="5219700" cy="2353945"/>
                  <wp:effectExtent l="0" t="0" r="0" b="8255"/>
                  <wp:wrapSquare wrapText="bothSides"/>
                  <wp:docPr id="13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主要能源使用：电力、天然气、柴油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主要能源参数：综合能耗tce、单位产品综合能耗kgce/万套、单位产值综合能耗kgce/万元。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B4380 金属冲压件通用技术条件、B4380 金属冲压件通用技术条件 、GB/T13914-2002 冲压件尺寸公差 、GB/T13915-2002 冲压件角度公差 、GB/T13916-2002 形状和位置未注公差 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instrText xml:space="preserve"> HYPERLINK "javascript:SLC(40273,0)" 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中华人民共和国节约能源法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》、《中华人民共和国清洁生产促进法》、《中华人民共和国可再生能源法》；工业余热术语 、分类、等级及余热资源量计算方法GB/T 1028-2000；用能设备能量平衡通则GB/T 2587-2009；节约用电管理办法（国经贸资源〔2000〕1256号）、RBT119-2015能源管理体系 机械制造企业认证要求；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161925</wp:posOffset>
                  </wp:positionV>
                  <wp:extent cx="640715" cy="3136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D ISC-B-I-0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8A13B82"/>
    <w:rsid w:val="2F997F95"/>
    <w:rsid w:val="32D614A9"/>
    <w:rsid w:val="42D37EF9"/>
    <w:rsid w:val="5A0D65BC"/>
    <w:rsid w:val="75C66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2022-05-23T14:52:40Z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2052-11.1.0.11411</vt:lpwstr>
  </property>
</Properties>
</file>