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0295-2022-EnMs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美的集团武汉制冷设备有限公司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550"/>
        <w:gridCol w:w="1312"/>
        <w:gridCol w:w="2179"/>
        <w:gridCol w:w="124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Align w:val="center"/>
          </w:tcPr>
          <w:p>
            <w:r>
              <w:rPr>
                <w:rFonts w:hint="eastAsia"/>
              </w:rPr>
              <w:t>受审核方名称</w:t>
            </w:r>
          </w:p>
        </w:tc>
        <w:tc>
          <w:tcPr>
            <w:tcW w:w="8052" w:type="dxa"/>
            <w:gridSpan w:val="5"/>
          </w:tcPr>
          <w:p>
            <w:bookmarkStart w:id="5" w:name="组织名称Add1"/>
            <w:r>
              <w:t>美的集团武汉制冷设备有限公司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67" w:type="dxa"/>
            <w:vAlign w:val="center"/>
          </w:tcPr>
          <w:p>
            <w:r>
              <w:rPr>
                <w:rFonts w:hint="eastAsia"/>
              </w:rPr>
              <w:t>注册地址</w:t>
            </w:r>
          </w:p>
        </w:tc>
        <w:tc>
          <w:tcPr>
            <w:tcW w:w="5041" w:type="dxa"/>
            <w:gridSpan w:val="3"/>
          </w:tcPr>
          <w:p>
            <w:bookmarkStart w:id="6" w:name="注册地址"/>
            <w:r>
              <w:t>武汉经济技术开发区40MD</w:t>
            </w:r>
            <w:bookmarkEnd w:id="6"/>
          </w:p>
        </w:tc>
        <w:tc>
          <w:tcPr>
            <w:tcW w:w="1241" w:type="dxa"/>
            <w:vMerge w:val="restart"/>
            <w:vAlign w:val="center"/>
          </w:tcPr>
          <w:p>
            <w:r>
              <w:rPr>
                <w:rFonts w:hint="eastAsia"/>
              </w:rPr>
              <w:t>邮编</w:t>
            </w:r>
          </w:p>
        </w:tc>
        <w:tc>
          <w:tcPr>
            <w:tcW w:w="1770" w:type="dxa"/>
          </w:tcPr>
          <w:p>
            <w:bookmarkStart w:id="7" w:name="注册邮编"/>
            <w:r>
              <w:t>430000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67" w:type="dxa"/>
            <w:vAlign w:val="center"/>
          </w:tcPr>
          <w:p>
            <w:r>
              <w:rPr>
                <w:rFonts w:hint="eastAsia"/>
              </w:rPr>
              <w:t>经营地址</w:t>
            </w:r>
          </w:p>
        </w:tc>
        <w:tc>
          <w:tcPr>
            <w:tcW w:w="5041" w:type="dxa"/>
            <w:gridSpan w:val="3"/>
          </w:tcPr>
          <w:p>
            <w:r>
              <w:t>武汉经济技术开发区40MD</w:t>
            </w:r>
          </w:p>
        </w:tc>
        <w:tc>
          <w:tcPr>
            <w:tcW w:w="1241" w:type="dxa"/>
            <w:vMerge w:val="continue"/>
            <w:vAlign w:val="center"/>
          </w:tcPr>
          <w:p/>
        </w:tc>
        <w:tc>
          <w:tcPr>
            <w:tcW w:w="1770" w:type="dxa"/>
          </w:tcPr>
          <w:p>
            <w:bookmarkStart w:id="8" w:name="办公邮编"/>
            <w:r>
              <w:t>430000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67" w:type="dxa"/>
            <w:vAlign w:val="center"/>
          </w:tcPr>
          <w:p>
            <w:r>
              <w:rPr>
                <w:rFonts w:hint="eastAsia"/>
              </w:rPr>
              <w:t>联系人</w:t>
            </w:r>
          </w:p>
        </w:tc>
        <w:tc>
          <w:tcPr>
            <w:tcW w:w="1550" w:type="dxa"/>
          </w:tcPr>
          <w:p>
            <w:bookmarkStart w:id="9" w:name="联系人"/>
            <w:r>
              <w:t>高志伟</w:t>
            </w:r>
            <w:bookmarkEnd w:id="9"/>
          </w:p>
        </w:tc>
        <w:tc>
          <w:tcPr>
            <w:tcW w:w="1312" w:type="dxa"/>
            <w:vAlign w:val="center"/>
          </w:tcPr>
          <w:p>
            <w:r>
              <w:rPr>
                <w:rFonts w:hint="eastAsia"/>
              </w:rPr>
              <w:t>电话.</w:t>
            </w:r>
          </w:p>
        </w:tc>
        <w:tc>
          <w:tcPr>
            <w:tcW w:w="2179" w:type="dxa"/>
            <w:vAlign w:val="center"/>
          </w:tcPr>
          <w:p>
            <w:bookmarkStart w:id="10" w:name="联系人电话"/>
            <w:r>
              <w:t>17835423042</w:t>
            </w:r>
            <w:bookmarkEnd w:id="10"/>
          </w:p>
        </w:tc>
        <w:tc>
          <w:tcPr>
            <w:tcW w:w="1241" w:type="dxa"/>
            <w:vAlign w:val="center"/>
          </w:tcPr>
          <w:p>
            <w:r>
              <w:rPr>
                <w:rFonts w:hint="eastAsia"/>
              </w:rPr>
              <w:t>传真</w:t>
            </w:r>
          </w:p>
        </w:tc>
        <w:tc>
          <w:tcPr>
            <w:tcW w:w="1770"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667" w:type="dxa"/>
            <w:vAlign w:val="center"/>
          </w:tcPr>
          <w:p>
            <w:r>
              <w:rPr>
                <w:rFonts w:hint="eastAsia"/>
              </w:rPr>
              <w:t>法人代表</w:t>
            </w:r>
          </w:p>
        </w:tc>
        <w:tc>
          <w:tcPr>
            <w:tcW w:w="1550" w:type="dxa"/>
          </w:tcPr>
          <w:p>
            <w:bookmarkStart w:id="12" w:name="法人"/>
            <w:r>
              <w:t>王建国</w:t>
            </w:r>
            <w:bookmarkEnd w:id="12"/>
          </w:p>
        </w:tc>
        <w:tc>
          <w:tcPr>
            <w:tcW w:w="1312" w:type="dxa"/>
            <w:vAlign w:val="center"/>
          </w:tcPr>
          <w:p>
            <w:r>
              <w:rPr>
                <w:rFonts w:hint="eastAsia"/>
              </w:rPr>
              <w:t>管理者代表</w:t>
            </w:r>
          </w:p>
        </w:tc>
        <w:tc>
          <w:tcPr>
            <w:tcW w:w="2179" w:type="dxa"/>
          </w:tcPr>
          <w:p>
            <w:bookmarkStart w:id="13" w:name="管理者代表"/>
            <w:r>
              <w:t>杨浩</w:t>
            </w:r>
            <w:bookmarkEnd w:id="13"/>
          </w:p>
        </w:tc>
        <w:tc>
          <w:tcPr>
            <w:tcW w:w="1241" w:type="dxa"/>
          </w:tcPr>
          <w:p>
            <w:r>
              <w:rPr>
                <w:rFonts w:hint="eastAsia"/>
              </w:rPr>
              <w:t>邮箱</w:t>
            </w:r>
          </w:p>
        </w:tc>
        <w:tc>
          <w:tcPr>
            <w:tcW w:w="17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67" w:type="dxa"/>
            <w:shd w:val="clear" w:color="auto" w:fill="auto"/>
          </w:tcPr>
          <w:p>
            <w:pPr>
              <w:rPr>
                <w:rFonts w:hint="eastAsia"/>
              </w:rPr>
            </w:pPr>
            <w:r>
              <w:rPr>
                <w:rFonts w:hint="eastAsia"/>
              </w:rPr>
              <w:t>多班次说明</w:t>
            </w:r>
          </w:p>
        </w:tc>
        <w:tc>
          <w:tcPr>
            <w:tcW w:w="8052" w:type="dxa"/>
            <w:gridSpan w:val="5"/>
            <w:shd w:val="clear" w:color="auto" w:fill="auto"/>
          </w:tcPr>
          <w:p>
            <w:pPr>
              <w:rPr>
                <w:rFonts w:hint="eastAsia"/>
              </w:rPr>
            </w:pPr>
            <w:r>
              <w:rPr>
                <w:rFonts w:hint="eastAsia"/>
              </w:rPr>
              <w:t>受审核组织的班次：□单班□双班</w:t>
            </w:r>
            <w:r>
              <w:rPr>
                <w:rFonts w:hint="eastAsia"/>
                <w:lang w:eastAsia="zh-CN"/>
              </w:rPr>
              <w:t>☑</w:t>
            </w:r>
            <w:r>
              <w:rPr>
                <w:rFonts w:hint="eastAsia"/>
              </w:rPr>
              <w:t>三班□其他</w:t>
            </w:r>
          </w:p>
          <w:p>
            <w:pPr>
              <w:rPr>
                <w:rFonts w:hint="eastAsia"/>
              </w:rPr>
            </w:pPr>
            <w:r>
              <w:rPr>
                <w:rFonts w:hint="eastAsia"/>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719"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9" w:hRule="atLeast"/>
          <w:jc w:val="center"/>
        </w:trPr>
        <w:tc>
          <w:tcPr>
            <w:tcW w:w="1667" w:type="dxa"/>
            <w:shd w:val="clear" w:color="auto" w:fill="auto"/>
          </w:tcPr>
          <w:p>
            <w:r>
              <w:rPr>
                <w:rFonts w:hint="eastAsia"/>
              </w:rPr>
              <w:t>生产/服务提供流程简图</w:t>
            </w:r>
          </w:p>
        </w:tc>
        <w:tc>
          <w:tcPr>
            <w:tcW w:w="8052" w:type="dxa"/>
            <w:gridSpan w:val="5"/>
            <w:shd w:val="clear" w:color="auto" w:fill="auto"/>
          </w:tcPr>
          <w:p>
            <w:r>
              <w:drawing>
                <wp:inline distT="0" distB="0" distL="0" distR="0">
                  <wp:extent cx="4896485" cy="4193540"/>
                  <wp:effectExtent l="0" t="0" r="5715" b="10160"/>
                  <wp:docPr id="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96485" cy="4193540"/>
                          </a:xfrm>
                          <a:prstGeom prst="rect">
                            <a:avLst/>
                          </a:prstGeom>
                          <a:noFill/>
                          <a:ln>
                            <a:noFill/>
                          </a:ln>
                        </pic:spPr>
                      </pic:pic>
                    </a:graphicData>
                  </a:graphic>
                </wp:inline>
              </w:drawing>
            </w:r>
          </w:p>
          <w:p>
            <w:pPr>
              <w:pStyle w:val="2"/>
              <w:ind w:left="0" w:leftChars="0" w:firstLine="0" w:firstLineChars="0"/>
            </w:pPr>
            <w:r>
              <w:rPr>
                <w:sz w:val="24"/>
              </w:rPr>
              <w:drawing>
                <wp:inline distT="0" distB="0" distL="0" distR="0">
                  <wp:extent cx="4971415" cy="1906905"/>
                  <wp:effectExtent l="0" t="0" r="6985" b="10795"/>
                  <wp:docPr id="1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71415" cy="1906905"/>
                          </a:xfrm>
                          <a:prstGeom prst="rect">
                            <a:avLst/>
                          </a:prstGeom>
                          <a:noFill/>
                          <a:ln>
                            <a:noFill/>
                          </a:ln>
                          <a:effectLst/>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4" w:name="审核日期"/>
            <w:r>
              <w:rPr>
                <w:rFonts w:hint="eastAsia"/>
              </w:rPr>
              <w:t>2022年05月18日 上午至2022年05月22日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default"/>
                <w:lang w:val="en-US" w:eastAsia="zh-CN"/>
              </w:rPr>
            </w:pPr>
            <w:r>
              <w:rPr>
                <w:rFonts w:hint="eastAsia"/>
                <w:lang w:val="de-DE" w:eastAsia="zh-CN"/>
              </w:rPr>
              <w:t>☑</w:t>
            </w:r>
            <w:r>
              <w:rPr>
                <w:rFonts w:hint="eastAsia"/>
                <w:lang w:val="de-DE"/>
              </w:rPr>
              <w:t>RB/T</w:t>
            </w:r>
            <w:r>
              <w:rPr>
                <w:rFonts w:hint="eastAsia"/>
                <w:lang w:val="en-US" w:eastAsia="zh-CN"/>
              </w:rPr>
              <w:t xml:space="preserve"> 119-2015能源管理体系 机械制造企业认证要求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lang w:eastAsia="zh-CN"/>
              </w:rPr>
            </w:pPr>
            <w:r>
              <w:rPr>
                <w:rFonts w:hint="eastAsia"/>
                <w:lang w:val="en-US" w:eastAsia="zh-CN"/>
              </w:rPr>
              <w:t>周  涛：</w:t>
            </w:r>
            <w:r>
              <w:t>武汉经济技术开发区40MD</w:t>
            </w:r>
            <w:r>
              <w:rPr>
                <w:rFonts w:hint="eastAsia"/>
                <w:lang w:eastAsia="zh-CN"/>
              </w:rPr>
              <w:t>；</w:t>
            </w:r>
          </w:p>
          <w:p>
            <w:pPr>
              <w:rPr>
                <w:rFonts w:hint="default" w:ascii="宋体" w:eastAsia="宋体"/>
                <w:b/>
                <w:color w:val="0000FF"/>
                <w:szCs w:val="21"/>
                <w:lang w:val="en-US" w:eastAsia="zh-CN"/>
              </w:rPr>
            </w:pPr>
            <w:r>
              <w:rPr>
                <w:rFonts w:hint="eastAsia"/>
                <w:lang w:val="en-US" w:eastAsia="zh-CN"/>
              </w:rPr>
              <w:t>王宁敏：广东省深圳市（远程）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8" w:name="审核范围"/>
            <w:r>
              <w:t>空气调节器的设计、制造及销售所涉及的能源管理活动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29" w:name="专业代码"/>
            <w:r>
              <w:t>2.7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69"/>
        <w:gridCol w:w="1600"/>
        <w:gridCol w:w="2030"/>
        <w:gridCol w:w="1350"/>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69" w:type="dxa"/>
            <w:shd w:val="clear" w:color="auto" w:fill="F3F3F3"/>
            <w:tcMar>
              <w:left w:w="57" w:type="dxa"/>
              <w:right w:w="57" w:type="dxa"/>
            </w:tcMar>
          </w:tcPr>
          <w:p>
            <w:r>
              <w:rPr>
                <w:rFonts w:hint="eastAsia"/>
              </w:rPr>
              <w:t>经营场所的地址</w:t>
            </w:r>
          </w:p>
          <w:p>
            <w:r>
              <w:rPr>
                <w:rFonts w:hint="eastAsia"/>
              </w:rPr>
              <w:t>（多现场和临时现场）</w:t>
            </w:r>
          </w:p>
        </w:tc>
        <w:tc>
          <w:tcPr>
            <w:tcW w:w="1600" w:type="dxa"/>
            <w:shd w:val="clear" w:color="auto" w:fill="F3F3F3"/>
            <w:tcMar>
              <w:left w:w="57" w:type="dxa"/>
              <w:right w:w="57" w:type="dxa"/>
            </w:tcMar>
          </w:tcPr>
          <w:p>
            <w:r>
              <w:rPr>
                <w:rFonts w:hint="eastAsia"/>
              </w:rPr>
              <w:t>员工人数</w:t>
            </w:r>
          </w:p>
        </w:tc>
        <w:tc>
          <w:tcPr>
            <w:tcW w:w="20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350" w:type="dxa"/>
            <w:shd w:val="clear" w:color="auto" w:fill="F3F3F3"/>
            <w:tcMar>
              <w:left w:w="57" w:type="dxa"/>
              <w:right w:w="57" w:type="dxa"/>
            </w:tcMar>
          </w:tcPr>
          <w:p>
            <w:r>
              <w:rPr>
                <w:rFonts w:hint="eastAsia"/>
              </w:rPr>
              <w:t>标准</w:t>
            </w:r>
          </w:p>
        </w:tc>
        <w:tc>
          <w:tcPr>
            <w:tcW w:w="52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Times New Roman" w:hAnsi="Times New Roman" w:eastAsia="宋体" w:cs="Times New Roman"/>
                <w:lang w:val="de-DE" w:eastAsia="ja-JP"/>
              </w:rPr>
            </w:pPr>
            <w:r>
              <w:rPr>
                <w:rFonts w:hint="eastAsia" w:ascii="Times New Roman" w:hAnsi="Times New Roman" w:eastAsia="宋体" w:cs="Times New Roman"/>
                <w:lang w:val="en-US" w:eastAsia="zh-CN"/>
              </w:rPr>
              <w:t>美的集团武汉制冷设备有限公司/</w:t>
            </w:r>
            <w:r>
              <w:t>武汉经济技术开发区40MD</w:t>
            </w:r>
          </w:p>
        </w:tc>
        <w:tc>
          <w:tcPr>
            <w:tcW w:w="1469" w:type="dxa"/>
          </w:tcPr>
          <w:p>
            <w:pPr>
              <w:rPr>
                <w:lang w:val="de-DE" w:eastAsia="ja-JP"/>
              </w:rPr>
            </w:pPr>
            <w:r>
              <w:t>武汉经济技术开发区40MD</w:t>
            </w:r>
          </w:p>
        </w:tc>
        <w:tc>
          <w:tcPr>
            <w:tcW w:w="1600" w:type="dxa"/>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总人数4000人，与能源相关人员506人；</w:t>
            </w:r>
          </w:p>
        </w:tc>
        <w:tc>
          <w:tcPr>
            <w:tcW w:w="2030" w:type="dxa"/>
            <w:vAlign w:val="center"/>
          </w:tcPr>
          <w:p>
            <w:pPr>
              <w:rPr>
                <w:lang w:eastAsia="ja-JP"/>
              </w:rPr>
            </w:pPr>
            <w:r>
              <w:t>空气调节器的设计、制造及销售所涉及的能源管理活动</w:t>
            </w:r>
          </w:p>
        </w:tc>
        <w:tc>
          <w:tcPr>
            <w:tcW w:w="1350" w:type="dxa"/>
            <w:vAlign w:val="center"/>
          </w:tcPr>
          <w:p>
            <w:pPr>
              <w:rPr>
                <w:lang w:eastAsia="ja-JP"/>
              </w:rPr>
            </w:pPr>
            <w:r>
              <w:rPr>
                <w:rFonts w:hint="eastAsia"/>
              </w:rPr>
              <w:t>GB/T 23331-2020</w:t>
            </w:r>
            <w:r>
              <w:rPr>
                <w:rFonts w:hint="eastAsia"/>
                <w:lang w:val="de-DE"/>
              </w:rPr>
              <w:t>RB/T</w:t>
            </w:r>
            <w:r>
              <w:rPr>
                <w:rFonts w:hint="eastAsia"/>
                <w:lang w:val="en-US" w:eastAsia="zh-CN"/>
              </w:rPr>
              <w:t xml:space="preserve"> 119-2015</w:t>
            </w:r>
          </w:p>
        </w:tc>
        <w:tc>
          <w:tcPr>
            <w:tcW w:w="529"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color w:val="0000FF"/>
                <w:szCs w:val="21"/>
              </w:rPr>
              <w:t>备注：</w:t>
            </w:r>
            <w:r>
              <w:rPr>
                <w:rFonts w:hint="eastAsia" w:ascii="宋体" w:hAnsi="宋体" w:cs="宋体"/>
                <w:color w:val="0000FF"/>
                <w:kern w:val="0"/>
                <w:szCs w:val="21"/>
              </w:rPr>
              <w:t>经营地址</w:t>
            </w:r>
            <w:r>
              <w:rPr>
                <w:rFonts w:hint="eastAsia" w:ascii="宋体" w:hAnsi="宋体" w:cs="宋体"/>
                <w:color w:val="0000FF"/>
                <w:kern w:val="0"/>
                <w:szCs w:val="21"/>
                <w:lang w:val="en-US" w:eastAsia="zh-CN"/>
              </w:rPr>
              <w:t>由</w:t>
            </w:r>
            <w:r>
              <w:rPr>
                <w:rFonts w:hint="eastAsia" w:ascii="宋体" w:hAnsi="宋体" w:cs="宋体"/>
                <w:color w:val="0000FF"/>
                <w:kern w:val="0"/>
                <w:szCs w:val="21"/>
              </w:rPr>
              <w:t>“湖北省武汉市汉阳经济技术开发区枫树四路美的武汉工业园</w:t>
            </w:r>
            <w:r>
              <w:rPr>
                <w:rFonts w:ascii="宋体" w:hAnsi="宋体" w:cs="宋体"/>
                <w:color w:val="0000FF"/>
                <w:kern w:val="0"/>
                <w:szCs w:val="21"/>
              </w:rPr>
              <w:t>”</w:t>
            </w:r>
            <w:r>
              <w:rPr>
                <w:rFonts w:hint="eastAsia"/>
                <w:color w:val="0000FF"/>
                <w:szCs w:val="21"/>
                <w:lang w:val="en-US" w:eastAsia="zh-CN"/>
              </w:rPr>
              <w:t>变更为</w:t>
            </w:r>
            <w:r>
              <w:rPr>
                <w:rFonts w:hint="eastAsia"/>
                <w:color w:val="0000FF"/>
                <w:szCs w:val="21"/>
              </w:rPr>
              <w:t>“</w:t>
            </w:r>
            <w:r>
              <w:rPr>
                <w:rFonts w:hint="eastAsia" w:ascii="宋体" w:hAnsi="宋体" w:cs="宋体"/>
                <w:color w:val="0000FF"/>
                <w:kern w:val="0"/>
                <w:szCs w:val="21"/>
              </w:rPr>
              <w:t>武汉经济技术开发区40MD”</w:t>
            </w: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因为两者为</w:t>
            </w:r>
            <w:r>
              <w:rPr>
                <w:rFonts w:hint="eastAsia" w:ascii="宋体" w:hAnsi="宋体" w:cs="宋体"/>
                <w:color w:val="0000FF"/>
                <w:kern w:val="0"/>
                <w:szCs w:val="21"/>
              </w:rPr>
              <w:t>同一地址。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ascii="宋体" w:hAnsi="宋体" w:eastAsia="宋体" w:cs="宋体"/>
                <w:color w:val="0000FF"/>
                <w:kern w:val="0"/>
                <w:szCs w:val="21"/>
              </w:rPr>
            </w:pPr>
            <w:r>
              <w:rPr>
                <w:rFonts w:hint="eastAsia" w:ascii="宋体" w:hAnsi="宋体" w:eastAsia="宋体" w:cs="宋体"/>
                <w:color w:val="0000FF"/>
                <w:kern w:val="0"/>
                <w:szCs w:val="21"/>
              </w:rPr>
              <w:t>原总人数：</w:t>
            </w:r>
            <w:r>
              <w:rPr>
                <w:rFonts w:hint="eastAsia" w:ascii="宋体" w:hAnsi="宋体" w:cs="宋体"/>
                <w:color w:val="0000FF"/>
                <w:kern w:val="0"/>
                <w:szCs w:val="21"/>
              </w:rPr>
              <w:t>3000人，体系人数300人</w:t>
            </w:r>
          </w:p>
          <w:p>
            <w:r>
              <w:rPr>
                <w:rFonts w:hint="eastAsia" w:ascii="宋体" w:hAnsi="宋体" w:eastAsia="宋体" w:cs="宋体"/>
                <w:color w:val="0000FF"/>
                <w:kern w:val="0"/>
                <w:szCs w:val="21"/>
              </w:rPr>
              <w:t>变更为:总</w:t>
            </w:r>
            <w:r>
              <w:rPr>
                <w:rFonts w:hint="eastAsia" w:ascii="宋体" w:hAnsi="宋体" w:cs="宋体"/>
                <w:color w:val="0000FF"/>
                <w:kern w:val="0"/>
                <w:szCs w:val="21"/>
              </w:rPr>
              <w:t>人数4000人，与能源相关人员506人；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anchor distT="0" distB="0" distL="114300" distR="114300" simplePos="0" relativeHeight="251661312" behindDoc="0" locked="0" layoutInCell="1" allowOverlap="1">
                  <wp:simplePos x="0" y="0"/>
                  <wp:positionH relativeFrom="column">
                    <wp:posOffset>448310</wp:posOffset>
                  </wp:positionH>
                  <wp:positionV relativeFrom="paragraph">
                    <wp:posOffset>40640</wp:posOffset>
                  </wp:positionV>
                  <wp:extent cx="640715" cy="3136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8"/>
                          <a:stretch>
                            <a:fillRect/>
                          </a:stretch>
                        </pic:blipFill>
                        <pic:spPr>
                          <a:xfrm>
                            <a:off x="0" y="0"/>
                            <a:ext cx="640715" cy="31369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hd w:val="clear" w:color="auto" w:fill="C7DAF1" w:themeFill="text2" w:themeFillTint="3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rPr>
                <w:rFonts w:hint="eastAsia" w:eastAsia="宋体"/>
                <w:lang w:eastAsia="zh-CN"/>
              </w:rPr>
            </w:pPr>
            <w:r>
              <w:rPr>
                <w:rFonts w:hint="eastAsia" w:ascii="宋体" w:hAnsi="宋体" w:cs="宋体"/>
                <w:color w:val="000000"/>
                <w:kern w:val="0"/>
                <w:szCs w:val="21"/>
              </w:rPr>
              <w:t>空气调节器的设计、制造及销售所涉及的能源管理活动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u w:val="single"/>
              </w:rPr>
            </w:pPr>
            <w:r>
              <w:rPr>
                <w:rFonts w:hint="eastAsia"/>
              </w:rPr>
              <w:t>最高管理者制定了文件化的管理体系方针：</w:t>
            </w:r>
            <w:r>
              <w:rPr>
                <w:rFonts w:hint="eastAsia"/>
                <w:u w:val="single"/>
              </w:rPr>
              <w:t>遵守法规</w:t>
            </w:r>
            <w:r>
              <w:rPr>
                <w:rFonts w:hint="eastAsia"/>
                <w:u w:val="single"/>
                <w:lang w:eastAsia="zh-CN"/>
              </w:rPr>
              <w:t>、</w:t>
            </w:r>
            <w:r>
              <w:rPr>
                <w:rFonts w:hint="eastAsia"/>
                <w:u w:val="single"/>
              </w:rPr>
              <w:t>清洁生产</w:t>
            </w:r>
            <w:r>
              <w:rPr>
                <w:rFonts w:hint="eastAsia"/>
                <w:u w:val="single"/>
                <w:lang w:eastAsia="zh-CN"/>
              </w:rPr>
              <w:t>；</w:t>
            </w:r>
            <w:r>
              <w:rPr>
                <w:rFonts w:hint="eastAsia"/>
                <w:u w:val="single"/>
                <w:lang w:val="en-US" w:eastAsia="zh-CN"/>
              </w:rPr>
              <w:t>节能降耗</w:t>
            </w:r>
            <w:r>
              <w:rPr>
                <w:rFonts w:hint="eastAsia"/>
                <w:u w:val="single"/>
                <w:lang w:eastAsia="zh-CN"/>
              </w:rPr>
              <w:t>、</w:t>
            </w:r>
            <w:r>
              <w:rPr>
                <w:rFonts w:hint="eastAsia"/>
                <w:u w:val="single"/>
              </w:rPr>
              <w:t>创新改造</w:t>
            </w:r>
            <w:r>
              <w:rPr>
                <w:rFonts w:hint="eastAsia"/>
                <w:u w:val="single"/>
                <w:lang w:eastAsia="zh-CN"/>
              </w:rPr>
              <w:t>；</w:t>
            </w:r>
            <w:r>
              <w:rPr>
                <w:rFonts w:hint="eastAsia"/>
                <w:u w:val="single"/>
                <w:lang w:val="en-US" w:eastAsia="zh-CN"/>
              </w:rPr>
              <w:t>能耗限额、持续改进。</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工程部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杨浩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lang w:eastAsia="zh-CN"/>
              </w:rPr>
              <w:t>☑</w:t>
            </w:r>
            <w:r>
              <w:rPr>
                <w:rFonts w:hint="eastAsia"/>
              </w:rPr>
              <w:t>天然气</w:t>
            </w:r>
            <w:r>
              <w:rPr>
                <w:rFonts w:hint="eastAsia"/>
                <w:lang w:eastAsia="zh-CN"/>
              </w:rPr>
              <w:t>□</w:t>
            </w:r>
            <w:r>
              <w:rPr>
                <w:rFonts w:hint="eastAsia"/>
              </w:rPr>
              <w:t>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2022.4</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3002"/>
              <w:gridCol w:w="135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tcPr>
                <w:p>
                  <w:pPr>
                    <w:shd w:val="clear" w:color="auto" w:fill="EBF1DE" w:themeFill="accent3" w:themeFillTint="32"/>
                    <w:rPr>
                      <w:rFonts w:hint="eastAsia"/>
                    </w:rPr>
                  </w:pPr>
                  <w:r>
                    <w:rPr>
                      <w:rFonts w:hint="eastAsia"/>
                    </w:rPr>
                    <w:t>节能目标</w:t>
                  </w:r>
                </w:p>
              </w:tc>
              <w:tc>
                <w:tcPr>
                  <w:tcW w:w="3002" w:type="dxa"/>
                  <w:shd w:val="clear" w:color="auto" w:fill="auto"/>
                </w:tcPr>
                <w:p>
                  <w:pPr>
                    <w:shd w:val="clear" w:color="auto" w:fill="EBF1DE" w:themeFill="accent3" w:themeFillTint="32"/>
                    <w:rPr>
                      <w:rFonts w:hint="eastAsia"/>
                    </w:rPr>
                  </w:pPr>
                  <w:r>
                    <w:rPr>
                      <w:rFonts w:hint="eastAsia"/>
                    </w:rPr>
                    <w:t>控制措施</w:t>
                  </w:r>
                </w:p>
              </w:tc>
              <w:tc>
                <w:tcPr>
                  <w:tcW w:w="1350" w:type="dxa"/>
                  <w:shd w:val="clear" w:color="auto" w:fill="auto"/>
                </w:tcPr>
                <w:p>
                  <w:pPr>
                    <w:shd w:val="clear" w:color="auto" w:fill="EBF1DE" w:themeFill="accent3" w:themeFillTint="32"/>
                    <w:rPr>
                      <w:rFonts w:hint="eastAsia"/>
                    </w:rPr>
                  </w:pPr>
                  <w:r>
                    <w:rPr>
                      <w:rFonts w:hint="eastAsia"/>
                    </w:rPr>
                    <w:t>责任部门</w:t>
                  </w:r>
                </w:p>
              </w:tc>
              <w:tc>
                <w:tcPr>
                  <w:tcW w:w="1846" w:type="dxa"/>
                  <w:shd w:val="clear" w:color="auto" w:fill="auto"/>
                </w:tcPr>
                <w:p>
                  <w:pPr>
                    <w:shd w:val="clear" w:color="auto" w:fill="EBF1DE" w:themeFill="accent3" w:themeFillTint="32"/>
                    <w:rPr>
                      <w:rFonts w:hint="eastAsia"/>
                    </w:rPr>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tcPr>
                <w:p>
                  <w:pPr>
                    <w:shd w:val="clear" w:color="auto" w:fill="EBF1DE" w:themeFill="accent3" w:themeFillTint="32"/>
                    <w:rPr>
                      <w:rFonts w:hint="eastAsia"/>
                    </w:rPr>
                  </w:pPr>
                  <w:r>
                    <w:rPr>
                      <w:rFonts w:hint="eastAsia"/>
                      <w:lang w:val="en-US" w:eastAsia="zh-CN"/>
                    </w:rPr>
                    <w:t xml:space="preserve">综合能耗≦11439.2806tce                    </w:t>
                  </w:r>
                </w:p>
              </w:tc>
              <w:tc>
                <w:tcPr>
                  <w:tcW w:w="3002"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加强全部公司的能源节约利用，严格进行目标考核</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工程部</w:t>
                  </w:r>
                </w:p>
              </w:tc>
              <w:tc>
                <w:tcPr>
                  <w:tcW w:w="1846" w:type="dxa"/>
                  <w:shd w:val="clear" w:color="auto" w:fill="auto"/>
                  <w:vAlign w:val="center"/>
                </w:tcPr>
                <w:p>
                  <w:pPr>
                    <w:shd w:val="clear" w:color="auto" w:fill="EBF1DE" w:themeFill="accent3" w:themeFillTint="32"/>
                    <w:jc w:val="center"/>
                    <w:rPr>
                      <w:rFonts w:hint="eastAsia"/>
                      <w:lang w:val="en-GB"/>
                    </w:rPr>
                  </w:pPr>
                  <w:r>
                    <w:rPr>
                      <w:rFonts w:hint="eastAsia"/>
                      <w:lang w:val="en-US" w:eastAsia="zh-CN"/>
                    </w:rPr>
                    <w:t>12471.6883tce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tcPr>
                <w:p>
                  <w:pPr>
                    <w:shd w:val="clear" w:color="auto" w:fill="EBF1DE" w:themeFill="accent3" w:themeFillTint="32"/>
                    <w:rPr>
                      <w:rFonts w:hint="eastAsia"/>
                    </w:rPr>
                  </w:pPr>
                  <w:r>
                    <w:rPr>
                      <w:rFonts w:hint="eastAsia"/>
                      <w:lang w:val="en-US" w:eastAsia="zh-CN"/>
                    </w:rPr>
                    <w:t xml:space="preserve">单位产品综合能耗≦15602.05kgce/万套        </w:t>
                  </w:r>
                </w:p>
              </w:tc>
              <w:tc>
                <w:tcPr>
                  <w:tcW w:w="3002"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提高产品生产效率、降低能耗</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工程部</w:t>
                  </w:r>
                </w:p>
              </w:tc>
              <w:tc>
                <w:tcPr>
                  <w:tcW w:w="1846"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14479.45kgce/万套</w:t>
                  </w:r>
                </w:p>
                <w:p>
                  <w:pPr>
                    <w:shd w:val="clear" w:color="auto" w:fill="EBF1DE" w:themeFill="accent3" w:themeFillTint="32"/>
                    <w:rPr>
                      <w:rFonts w:hint="eastAsia"/>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tcPr>
                <w:p>
                  <w:pPr>
                    <w:shd w:val="clear" w:color="auto" w:fill="EBF1DE" w:themeFill="accent3" w:themeFillTint="32"/>
                    <w:rPr>
                      <w:rFonts w:hint="eastAsia"/>
                    </w:rPr>
                  </w:pPr>
                  <w:r>
                    <w:rPr>
                      <w:rFonts w:hint="eastAsia"/>
                      <w:lang w:val="en-US" w:eastAsia="zh-CN"/>
                    </w:rPr>
                    <w:t xml:space="preserve">单位产值综合能耗≦9.059kgce/万元；         </w:t>
                  </w:r>
                </w:p>
              </w:tc>
              <w:tc>
                <w:tcPr>
                  <w:tcW w:w="3002" w:type="dxa"/>
                  <w:shd w:val="clear" w:color="auto" w:fill="auto"/>
                  <w:vAlign w:val="center"/>
                </w:tcPr>
                <w:p>
                  <w:pPr>
                    <w:shd w:val="clear" w:color="auto" w:fill="EBF1DE" w:themeFill="accent3" w:themeFillTint="32"/>
                    <w:rPr>
                      <w:rFonts w:hint="eastAsia"/>
                    </w:rPr>
                  </w:pPr>
                  <w:r>
                    <w:rPr>
                      <w:rFonts w:hint="eastAsia"/>
                      <w:lang w:val="en-US" w:eastAsia="zh-CN"/>
                    </w:rPr>
                    <w:t>提高产品生产效率、降低能耗</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工程部</w:t>
                  </w:r>
                </w:p>
              </w:tc>
              <w:tc>
                <w:tcPr>
                  <w:tcW w:w="1846" w:type="dxa"/>
                  <w:shd w:val="clear" w:color="auto" w:fill="auto"/>
                  <w:vAlign w:val="center"/>
                </w:tcPr>
                <w:p>
                  <w:pPr>
                    <w:shd w:val="clear" w:color="auto" w:fill="EBF1DE" w:themeFill="accent3" w:themeFillTint="32"/>
                    <w:rPr>
                      <w:rFonts w:hint="eastAsia"/>
                    </w:rPr>
                  </w:pPr>
                  <w:r>
                    <w:rPr>
                      <w:rFonts w:hint="eastAsia"/>
                      <w:lang w:val="en-US" w:eastAsia="zh-CN"/>
                    </w:rPr>
                    <w:t>7.0615kgce/万元；</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建筑面积（520002 ）平方米</w:t>
            </w:r>
            <w:r>
              <w:rPr>
                <w:rFonts w:hint="eastAsia"/>
                <w:lang w:eastAsia="zh-CN"/>
              </w:rPr>
              <w:t>、</w:t>
            </w:r>
            <w:r>
              <w:rPr>
                <w:rFonts w:hint="eastAsia"/>
              </w:rPr>
              <w:t>生产车间（6）个</w:t>
            </w:r>
            <w:r>
              <w:rPr>
                <w:rFonts w:hint="eastAsia"/>
                <w:lang w:eastAsia="zh-CN"/>
              </w:rPr>
              <w:t>、</w:t>
            </w:r>
            <w:r>
              <w:rPr>
                <w:rFonts w:hint="eastAsia"/>
              </w:rPr>
              <w:t>库房（1 ）个</w:t>
            </w:r>
            <w:r>
              <w:rPr>
                <w:rFonts w:hint="eastAsia"/>
                <w:lang w:eastAsia="zh-CN"/>
              </w:rPr>
              <w:t>、</w:t>
            </w:r>
            <w:r>
              <w:rPr>
                <w:rFonts w:hint="eastAsia"/>
              </w:rPr>
              <w:t>实验室（1）个；</w:t>
            </w:r>
          </w:p>
          <w:p>
            <w:pPr>
              <w:shd w:val="clear" w:color="auto" w:fill="EBF1DE" w:themeFill="accent3" w:themeFillTint="32"/>
              <w:rPr>
                <w:u w:val="single"/>
              </w:rPr>
            </w:pPr>
            <w:r>
              <w:rPr>
                <w:rFonts w:hint="eastAsia"/>
              </w:rPr>
              <w:t>主要生产设备有：</w:t>
            </w:r>
            <w:r>
              <w:rPr>
                <w:rFonts w:hint="eastAsia"/>
                <w:u w:val="single"/>
                <w:lang w:val="en-US" w:eastAsia="zh-CN"/>
              </w:rPr>
              <w:t>注塑机、翅片高速冲床、波峰焊</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空压机、烘干炉、固化炉、环保TO炉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EBF1DE" w:themeFill="accent3" w:themeFillTint="32"/>
              <w:rPr>
                <w:rFonts w:hint="eastAsia"/>
              </w:rPr>
            </w:pPr>
            <w:r>
              <w:rPr>
                <w:rFonts w:hint="eastAsia"/>
              </w:rPr>
              <w:t>能源计量器具有：</w:t>
            </w:r>
            <w:r>
              <w:rPr>
                <w:rFonts w:hint="eastAsia"/>
                <w:lang w:val="en-US" w:eastAsia="zh-CN"/>
              </w:rPr>
              <w:t>电表、水表</w:t>
            </w:r>
            <w:r>
              <w:rPr>
                <w:rFonts w:hint="eastAsia"/>
              </w:rPr>
              <w:t>（列举1~4种）</w:t>
            </w:r>
          </w:p>
          <w:p>
            <w:pPr>
              <w:shd w:val="clear" w:color="auto" w:fill="EBF1DE" w:themeFill="accent3" w:themeFillTint="32"/>
              <w:rPr>
                <w:rFonts w:hint="default"/>
                <w:lang w:val="en-US" w:eastAsia="zh-CN"/>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r>
              <w:rPr>
                <w:rFonts w:hint="eastAsia"/>
                <w:lang w:val="en-US" w:eastAsia="zh-CN"/>
              </w:rPr>
              <w:t>电表由当地电网负责管理，水表由供水公司负责管理。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组织为满足节能管理的要求，已对用能过程建立了相应的运行准则；按照运行准则实施过程控制。策划文件包括：</w:t>
            </w:r>
          </w:p>
          <w:p>
            <w:pPr>
              <w:shd w:val="clear" w:color="auto" w:fill="EBF1DE" w:themeFill="accent3" w:themeFillTint="32"/>
              <w:rPr>
                <w:rFonts w:hint="eastAsia"/>
              </w:rPr>
            </w:pPr>
            <w:r>
              <w:rPr>
                <w:rFonts w:hint="eastAsia"/>
                <w:lang w:eastAsia="zh-CN"/>
              </w:rPr>
              <w:t>□</w:t>
            </w:r>
            <w:r>
              <w:rPr>
                <w:rFonts w:hint="eastAsia"/>
              </w:rPr>
              <w:t>操作规程</w:t>
            </w:r>
            <w:r>
              <w:rPr>
                <w:rFonts w:hint="eastAsia"/>
                <w:lang w:eastAsia="zh-CN"/>
              </w:rPr>
              <w:t>☑</w:t>
            </w:r>
            <w:r>
              <w:rPr>
                <w:rFonts w:hint="eastAsia"/>
              </w:rPr>
              <w:t>作业文件</w:t>
            </w:r>
            <w:r>
              <w:rPr>
                <w:rFonts w:hint="eastAsia"/>
                <w:lang w:eastAsia="zh-CN"/>
              </w:rPr>
              <w:t>☑</w:t>
            </w:r>
            <w:r>
              <w:rPr>
                <w:rFonts w:hint="eastAsia"/>
              </w:rPr>
              <w:t>工艺卡片</w:t>
            </w:r>
            <w:r>
              <w:rPr>
                <w:rFonts w:hint="eastAsia"/>
                <w:lang w:eastAsia="zh-CN"/>
              </w:rPr>
              <w:t>☑</w:t>
            </w:r>
            <w:r>
              <w:rPr>
                <w:rFonts w:hint="eastAsia"/>
              </w:rPr>
              <w:t>接收准则</w:t>
            </w:r>
            <w:r>
              <w:rPr>
                <w:rFonts w:hint="eastAsia"/>
                <w:lang w:eastAsia="zh-CN"/>
              </w:rPr>
              <w:t>☑</w:t>
            </w:r>
            <w:r>
              <w:rPr>
                <w:rFonts w:hint="eastAsia"/>
              </w:rPr>
              <w:t>工艺流程图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rPr>
                <w:u w:val="single"/>
              </w:rPr>
            </w:pPr>
            <w:r>
              <w:rPr>
                <w:rFonts w:hint="eastAsia"/>
              </w:rPr>
              <w:t>审核期间内，设计和开发新产品/项目名称：</w:t>
            </w:r>
            <w:r>
              <w:rPr>
                <w:rFonts w:hint="eastAsia"/>
                <w:u w:val="single"/>
              </w:rPr>
              <w:t>1、磁悬浮中央空调替代螺杆式中央空调项目</w:t>
            </w:r>
            <w:r>
              <w:rPr>
                <w:rFonts w:hint="eastAsia"/>
                <w:u w:val="single"/>
                <w:lang w:eastAsia="zh-CN"/>
              </w:rPr>
              <w:t>；</w:t>
            </w:r>
            <w:r>
              <w:rPr>
                <w:rFonts w:hint="eastAsia"/>
                <w:u w:val="single"/>
              </w:rPr>
              <w:t>2、节能空压机改造项目</w:t>
            </w:r>
            <w:r>
              <w:rPr>
                <w:rFonts w:hint="eastAsia"/>
                <w:u w:val="single"/>
                <w:lang w:eastAsia="zh-CN"/>
              </w:rPr>
              <w:t>；</w:t>
            </w:r>
            <w:r>
              <w:rPr>
                <w:rFonts w:hint="eastAsia"/>
                <w:u w:val="single"/>
              </w:rPr>
              <w:t>3、压缩空气替代氮气项目</w:t>
            </w:r>
            <w:r>
              <w:rPr>
                <w:rFonts w:hint="eastAsia"/>
                <w:u w:val="single"/>
                <w:lang w:eastAsia="zh-CN"/>
              </w:rPr>
              <w:t>；</w:t>
            </w:r>
            <w:r>
              <w:rPr>
                <w:rFonts w:hint="eastAsia"/>
                <w:u w:val="single"/>
              </w:rPr>
              <w:t>4、大功率设备定频改变频项目</w:t>
            </w:r>
            <w:r>
              <w:rPr>
                <w:rFonts w:hint="eastAsia"/>
                <w:u w:val="single"/>
                <w:lang w:eastAsia="zh-CN"/>
              </w:rPr>
              <w:t>；</w:t>
            </w:r>
            <w:r>
              <w:rPr>
                <w:rFonts w:hint="eastAsia"/>
                <w:u w:val="single"/>
              </w:rPr>
              <w:t>5、工厂光伏发电项目（举</w:t>
            </w:r>
            <w:r>
              <w:rPr>
                <w:rFonts w:hint="eastAsia"/>
                <w:u w:val="single"/>
                <w:lang w:val="en-US" w:eastAsia="zh-CN"/>
              </w:rPr>
              <w:t>5</w:t>
            </w:r>
            <w:r>
              <w:rPr>
                <w:rFonts w:hint="eastAsia"/>
                <w:u w:val="single"/>
              </w:rPr>
              <w:t>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lang w:val="en-US"/>
                    </w:rPr>
                  </w:pPr>
                  <w:r>
                    <w:rPr>
                      <w:rFonts w:hint="eastAsia" w:ascii="Times New Roman" w:hAnsi="Times New Roman" w:cs="Times New Roman"/>
                      <w:highlight w:val="none"/>
                      <w:lang w:val="en-US" w:eastAsia="zh-CN"/>
                    </w:rPr>
                    <w:t>加强计量管理，加强天然气管网检查</w:t>
                  </w:r>
                  <w:r>
                    <w:rPr>
                      <w:rFonts w:hint="eastAsia" w:cs="Times New Roman"/>
                      <w:highlight w:val="none"/>
                      <w:lang w:val="en-US" w:eastAsia="zh-CN"/>
                    </w:rPr>
                    <w:t>，生产过程中满负荷生产；</w:t>
                  </w:r>
                </w:p>
              </w:tc>
              <w:tc>
                <w:tcPr>
                  <w:tcW w:w="3265" w:type="dxa"/>
                </w:tcPr>
                <w:p>
                  <w:pPr>
                    <w:shd w:val="clear" w:color="auto" w:fill="EBF1DE" w:themeFill="accent3" w:themeFillTint="32"/>
                    <w:jc w:val="left"/>
                  </w:pPr>
                  <w:r>
                    <w:rPr>
                      <w:rFonts w:hint="eastAsia"/>
                      <w:highlight w:val="none"/>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pPr>
                  <w:r>
                    <w:rPr>
                      <w:rFonts w:hint="eastAsia"/>
                      <w:highlight w:val="none"/>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eastAsia="zh-CN"/>
                    </w:rPr>
                  </w:pPr>
                  <w:r>
                    <w:rPr>
                      <w:rFonts w:hint="eastAsia"/>
                      <w:lang w:val="en-US" w:eastAsia="zh-CN"/>
                    </w:rPr>
                    <w:t>柴油</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提高叉车的运行效率</w:t>
                  </w:r>
                </w:p>
              </w:tc>
              <w:tc>
                <w:tcPr>
                  <w:tcW w:w="3265" w:type="dxa"/>
                </w:tcPr>
                <w:p>
                  <w:pPr>
                    <w:shd w:val="clear" w:color="auto" w:fill="EBF1DE" w:themeFill="accent3" w:themeFillTint="32"/>
                    <w:jc w:val="left"/>
                  </w:pPr>
                  <w:r>
                    <w:rPr>
                      <w:rFonts w:hint="eastAsia"/>
                      <w:highlight w:val="none"/>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日实施了能源管理体系内部审核，对能源管理体系的符合性和有效性进行了审核。内审发现的</w:t>
            </w:r>
            <w:r>
              <w:rPr>
                <w:rFonts w:hint="eastAsia"/>
                <w:lang w:val="en-US" w:eastAsia="zh-CN"/>
              </w:rPr>
              <w:t>1</w:t>
            </w:r>
            <w:bookmarkStart w:id="33" w:name="_GoBack"/>
            <w:bookmarkEnd w:id="33"/>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96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510"/>
        <w:gridCol w:w="845"/>
        <w:gridCol w:w="845"/>
        <w:gridCol w:w="845"/>
        <w:gridCol w:w="845"/>
        <w:gridCol w:w="845"/>
        <w:gridCol w:w="845"/>
        <w:gridCol w:w="845"/>
        <w:gridCol w:w="845"/>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4.1</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4.2</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4.3</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4.4</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5.1</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5.2</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5.3</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6.1</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6.2</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3</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6.4</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6.5</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6.6</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7.1</w:t>
            </w:r>
          </w:p>
        </w:tc>
        <w:tc>
          <w:tcPr>
            <w:tcW w:w="845" w:type="dxa"/>
            <w:shd w:val="clear" w:color="auto" w:fill="EBF1DE" w:themeFill="accent3" w:themeFillTint="32"/>
            <w:vAlign w:val="center"/>
          </w:tcPr>
          <w:p>
            <w:pPr>
              <w:shd w:val="clear" w:color="auto" w:fill="EBF1DE" w:themeFill="accent3" w:themeFillTint="32"/>
              <w:jc w:val="center"/>
            </w:pPr>
            <w:r>
              <w:rPr>
                <w:rFonts w:hint="eastAsia"/>
              </w:rPr>
              <w:t>7.2</w:t>
            </w:r>
          </w:p>
        </w:tc>
        <w:tc>
          <w:tcPr>
            <w:tcW w:w="845" w:type="dxa"/>
            <w:shd w:val="clear" w:color="auto" w:fill="EBF1DE" w:themeFill="accent3" w:themeFillTint="32"/>
            <w:vAlign w:val="center"/>
          </w:tcPr>
          <w:p>
            <w:pPr>
              <w:shd w:val="clear" w:color="auto" w:fill="EBF1DE" w:themeFill="accent3" w:themeFillTint="32"/>
              <w:jc w:val="center"/>
            </w:pPr>
            <w:r>
              <w:rPr>
                <w:rFonts w:hint="eastAsia"/>
              </w:rPr>
              <w:t>7.3</w:t>
            </w:r>
          </w:p>
        </w:tc>
        <w:tc>
          <w:tcPr>
            <w:tcW w:w="845" w:type="dxa"/>
            <w:shd w:val="clear" w:color="auto" w:fill="EBF1DE" w:themeFill="accent3" w:themeFillTint="32"/>
            <w:vAlign w:val="center"/>
          </w:tcPr>
          <w:p>
            <w:pPr>
              <w:shd w:val="clear" w:color="auto" w:fill="EBF1DE" w:themeFill="accent3" w:themeFillTint="32"/>
              <w:jc w:val="center"/>
            </w:pPr>
            <w:r>
              <w:rPr>
                <w:rFonts w:hint="eastAsia"/>
              </w:rPr>
              <w:t>7.4</w:t>
            </w:r>
          </w:p>
        </w:tc>
        <w:tc>
          <w:tcPr>
            <w:tcW w:w="845" w:type="dxa"/>
            <w:shd w:val="clear" w:color="auto" w:fill="EBF1DE" w:themeFill="accent3" w:themeFillTint="32"/>
            <w:vAlign w:val="center"/>
          </w:tcPr>
          <w:p>
            <w:pPr>
              <w:shd w:val="clear" w:color="auto" w:fill="EBF1DE" w:themeFill="accent3" w:themeFillTint="32"/>
              <w:jc w:val="center"/>
            </w:pPr>
            <w:r>
              <w:rPr>
                <w:rFonts w:hint="eastAsia"/>
              </w:rPr>
              <w:t>7.5</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8.1</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5" w:type="dxa"/>
            <w:shd w:val="clear" w:color="auto" w:fill="EBF1DE" w:themeFill="accent3" w:themeFillTint="32"/>
            <w:vAlign w:val="center"/>
          </w:tcPr>
          <w:p>
            <w:pPr>
              <w:shd w:val="clear" w:color="auto" w:fill="EBF1DE" w:themeFill="accent3" w:themeFillTint="32"/>
              <w:jc w:val="cente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5" w:type="dxa"/>
            <w:shd w:val="clear" w:color="auto" w:fill="EBF1DE" w:themeFill="accent3" w:themeFillTint="32"/>
            <w:vAlign w:val="center"/>
          </w:tcPr>
          <w:p>
            <w:pPr>
              <w:shd w:val="clear" w:color="auto" w:fill="EBF1DE" w:themeFill="accent3" w:themeFillTint="32"/>
              <w:jc w:val="center"/>
            </w:pPr>
            <w:r>
              <w:rPr>
                <w:rFonts w:hint="eastAsia"/>
              </w:rPr>
              <w:t>8.3</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9.1</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9.2</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9.3</w:t>
            </w:r>
          </w:p>
        </w:tc>
        <w:tc>
          <w:tcPr>
            <w:tcW w:w="845" w:type="dxa"/>
            <w:shd w:val="clear" w:color="auto" w:fill="EBF1DE" w:themeFill="accent3" w:themeFillTint="32"/>
            <w:vAlign w:val="center"/>
          </w:tcPr>
          <w:p>
            <w:pPr>
              <w:shd w:val="clear" w:color="auto" w:fill="EBF1DE" w:themeFill="accent3" w:themeFillTint="32"/>
              <w:jc w:val="center"/>
              <w:rPr>
                <w:lang w:eastAsia="ja-JP"/>
              </w:rPr>
            </w:pPr>
            <w:r>
              <w:rPr>
                <w:rFonts w:hint="eastAsia"/>
              </w:rPr>
              <w:t>10</w:t>
            </w: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5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c>
          <w:tcPr>
            <w:tcW w:w="845" w:type="dxa"/>
            <w:shd w:val="clear" w:color="auto" w:fill="EBF1DE" w:themeFill="accent3" w:themeFillTint="32"/>
            <w:vAlign w:val="center"/>
          </w:tcPr>
          <w:p>
            <w:pPr>
              <w:shd w:val="clear" w:color="auto" w:fill="EBF1DE" w:themeFill="accent3" w:themeFillTint="32"/>
              <w:jc w:val="center"/>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A930D1"/>
    <w:rsid w:val="3DC96293"/>
    <w:rsid w:val="5D2430C3"/>
    <w:rsid w:val="764E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6</TotalTime>
  <ScaleCrop>false</ScaleCrop>
  <LinksUpToDate>false</LinksUpToDate>
  <CharactersWithSpaces>26902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2022-05-27T16:48:57Z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