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主管领导：鲍婕</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王晶晶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2022年4月21日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rFonts w:hint="eastAsia"/>
                <w:sz w:val="24"/>
                <w:szCs w:val="24"/>
              </w:rPr>
            </w:pPr>
            <w:r>
              <w:rPr>
                <w:rFonts w:hint="eastAsia"/>
                <w:sz w:val="24"/>
                <w:szCs w:val="24"/>
              </w:rPr>
              <w:t>审核</w:t>
            </w:r>
            <w:r>
              <w:rPr>
                <w:rFonts w:hint="eastAsia" w:ascii="Times New Roman" w:hAnsi="Times New Roman" w:cs="Times New Roman"/>
                <w:sz w:val="24"/>
                <w:szCs w:val="24"/>
              </w:rPr>
              <w:t>条</w:t>
            </w:r>
            <w:r>
              <w:rPr>
                <w:rFonts w:hint="eastAsia"/>
                <w:sz w:val="24"/>
                <w:szCs w:val="24"/>
              </w:rPr>
              <w:t>款：Q:5.3；6.2；7.1.2；7.1.3；7.1.4；7.1.5</w:t>
            </w:r>
            <w:r>
              <w:rPr>
                <w:rFonts w:hint="eastAsia"/>
                <w:sz w:val="24"/>
                <w:szCs w:val="24"/>
                <w:lang w:eastAsia="zh-CN"/>
              </w:rPr>
              <w:t>、</w:t>
            </w:r>
            <w:r>
              <w:rPr>
                <w:rFonts w:hint="eastAsia"/>
                <w:sz w:val="24"/>
                <w:szCs w:val="24"/>
              </w:rPr>
              <w:t>7.1.6；7.2；7.3；7.4；7.5；9.2；10.</w:t>
            </w:r>
            <w:r>
              <w:rPr>
                <w:rFonts w:hint="eastAsia"/>
                <w:sz w:val="24"/>
                <w:szCs w:val="24"/>
                <w:lang w:val="en-US" w:eastAsia="zh-CN"/>
              </w:rPr>
              <w:t>1</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440" w:lineRule="exact"/>
              <w:ind w:left="422" w:leftChars="201"/>
              <w:rPr>
                <w:rFonts w:hint="eastAsia"/>
              </w:rPr>
            </w:pPr>
            <w:r>
              <w:rPr>
                <w:rFonts w:hint="eastAsia"/>
              </w:rPr>
              <w:t>a)负责人力资源的管理；</w:t>
            </w:r>
            <w:bookmarkStart w:id="0" w:name="_GoBack"/>
            <w:bookmarkEnd w:id="0"/>
          </w:p>
          <w:p>
            <w:pPr>
              <w:spacing w:line="440" w:lineRule="exact"/>
              <w:ind w:left="422" w:leftChars="201"/>
              <w:rPr>
                <w:rFonts w:hint="eastAsia"/>
              </w:rPr>
            </w:pPr>
            <w:r>
              <w:rPr>
                <w:rFonts w:hint="eastAsia"/>
              </w:rPr>
              <w:t>b)在管理者代表领导下，负责Q体系的具体实储存作；</w:t>
            </w:r>
          </w:p>
          <w:p>
            <w:pPr>
              <w:spacing w:line="440" w:lineRule="exact"/>
              <w:ind w:left="422" w:leftChars="201"/>
              <w:rPr>
                <w:rFonts w:hint="eastAsia"/>
              </w:rPr>
            </w:pPr>
            <w:r>
              <w:rPr>
                <w:rFonts w:hint="eastAsia"/>
              </w:rPr>
              <w:t>c)负责对公司Q目标进行分解和统计；</w:t>
            </w:r>
          </w:p>
          <w:p>
            <w:pPr>
              <w:spacing w:line="440" w:lineRule="exact"/>
              <w:ind w:left="422" w:leftChars="201"/>
              <w:rPr>
                <w:rFonts w:hint="eastAsia"/>
              </w:rPr>
            </w:pPr>
            <w:r>
              <w:rPr>
                <w:rFonts w:hint="eastAsia"/>
              </w:rPr>
              <w:t>d)负责制定实现本部门的Q目标及改进；</w:t>
            </w:r>
          </w:p>
          <w:p>
            <w:pPr>
              <w:spacing w:line="440" w:lineRule="exact"/>
              <w:ind w:left="422" w:leftChars="201"/>
              <w:rPr>
                <w:rFonts w:hint="eastAsia"/>
              </w:rPr>
            </w:pPr>
            <w:r>
              <w:rPr>
                <w:rFonts w:hint="eastAsia"/>
              </w:rPr>
              <w:t>e)负责组织编制Q管理体系文件并组织评审和更改；</w:t>
            </w:r>
          </w:p>
          <w:p>
            <w:pPr>
              <w:spacing w:line="440" w:lineRule="exact"/>
              <w:ind w:left="422" w:leftChars="201"/>
              <w:rPr>
                <w:rFonts w:hint="eastAsia"/>
              </w:rPr>
            </w:pPr>
            <w:r>
              <w:rPr>
                <w:rFonts w:hint="eastAsia"/>
              </w:rPr>
              <w:t>f)负责编制公司年度内审计划并组织实施；</w:t>
            </w:r>
          </w:p>
          <w:p>
            <w:pPr>
              <w:spacing w:line="440" w:lineRule="exact"/>
              <w:ind w:left="422" w:leftChars="201"/>
              <w:rPr>
                <w:rFonts w:hint="eastAsia"/>
              </w:rPr>
            </w:pPr>
            <w:r>
              <w:rPr>
                <w:rFonts w:hint="eastAsia"/>
              </w:rPr>
              <w:t>g)负责编制管理评审计划并组织实施；</w:t>
            </w:r>
          </w:p>
          <w:p>
            <w:pPr>
              <w:spacing w:line="440" w:lineRule="exact"/>
              <w:ind w:left="422" w:leftChars="201"/>
              <w:rPr>
                <w:rFonts w:hint="eastAsia"/>
              </w:rPr>
            </w:pPr>
            <w:r>
              <w:rPr>
                <w:rFonts w:hint="eastAsia"/>
              </w:rPr>
              <w:t>h)负责组织制定Q计划的纠正预防和改进措施，并跟踪验证；</w:t>
            </w:r>
          </w:p>
          <w:p>
            <w:pPr>
              <w:spacing w:line="440" w:lineRule="exact"/>
              <w:ind w:left="422" w:leftChars="201"/>
              <w:rPr>
                <w:rFonts w:hint="eastAsia"/>
              </w:rPr>
            </w:pPr>
            <w:r>
              <w:rPr>
                <w:rFonts w:hint="eastAsia"/>
              </w:rPr>
              <w:t>i)负责公司内部审计管理。</w:t>
            </w:r>
          </w:p>
          <w:p>
            <w:pPr>
              <w:spacing w:line="440" w:lineRule="exact"/>
              <w:ind w:left="422" w:leftChars="201"/>
              <w:rPr>
                <w:rFonts w:hint="eastAsia"/>
              </w:rPr>
            </w:pPr>
            <w:r>
              <w:rPr>
                <w:rFonts w:hint="eastAsia"/>
              </w:rPr>
              <w:t>j)负责制定实现本部门的Q目标及质量改进；</w:t>
            </w:r>
          </w:p>
          <w:p>
            <w:pPr>
              <w:spacing w:line="440" w:lineRule="exact"/>
              <w:ind w:left="422" w:leftChars="201"/>
              <w:rPr>
                <w:rFonts w:hint="eastAsia"/>
              </w:rPr>
            </w:pPr>
            <w:r>
              <w:rPr>
                <w:rFonts w:hint="eastAsia"/>
              </w:rPr>
              <w:t>k)负责公司财务管理工作；</w:t>
            </w:r>
          </w:p>
          <w:p>
            <w:pPr>
              <w:spacing w:line="440" w:lineRule="exact"/>
              <w:ind w:left="422" w:leftChars="201"/>
              <w:rPr>
                <w:rFonts w:hint="eastAsia"/>
              </w:rPr>
            </w:pPr>
            <w:r>
              <w:rPr>
                <w:rFonts w:hint="eastAsia"/>
              </w:rPr>
              <w:t>l)负责公司税务管理工作。</w:t>
            </w:r>
          </w:p>
          <w:p>
            <w:pPr>
              <w:spacing w:line="440" w:lineRule="exact"/>
              <w:ind w:left="422" w:leftChars="201"/>
              <w:rPr>
                <w:rFonts w:hint="eastAsia"/>
              </w:rPr>
            </w:pPr>
            <w:r>
              <w:rPr>
                <w:rFonts w:hint="eastAsia"/>
              </w:rPr>
              <w:t>m)负责制定实现本部门的质量目标及质量管理改进；</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12</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22</w:t>
            </w:r>
            <w:r>
              <w:rPr>
                <w:rFonts w:hint="eastAsia"/>
              </w:rPr>
              <w:t>年</w:t>
            </w:r>
            <w:r>
              <w:rPr>
                <w:rFonts w:hint="eastAsia"/>
                <w:lang w:val="en-US" w:eastAsia="zh-CN"/>
              </w:rPr>
              <w:t>2</w:t>
            </w:r>
            <w:r>
              <w:rPr>
                <w:rFonts w:hint="eastAsia"/>
              </w:rPr>
              <w:t>月</w:t>
            </w:r>
            <w:r>
              <w:rPr>
                <w:rFonts w:hint="eastAsia"/>
                <w:lang w:val="en-US" w:eastAsia="zh-CN"/>
              </w:rPr>
              <w:t>14</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基础设施</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7.1.3</w:t>
            </w:r>
          </w:p>
        </w:tc>
        <w:tc>
          <w:tcPr>
            <w:tcW w:w="10004"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查</w:t>
            </w:r>
            <w:r>
              <w:rPr>
                <w:rFonts w:hint="eastAsia" w:ascii="Times New Roman" w:hAnsi="Times New Roman" w:cs="Times New Roman"/>
                <w:szCs w:val="22"/>
              </w:rPr>
              <w:t>公司编制的“</w:t>
            </w:r>
            <w:r>
              <w:rPr>
                <w:rFonts w:hint="eastAsia" w:ascii="Times New Roman" w:hAnsi="Times New Roman" w:cs="Times New Roman"/>
                <w:szCs w:val="22"/>
                <w:lang w:eastAsia="zh-CN"/>
              </w:rPr>
              <w:t>基础设施和过程运行环境控制程序</w:t>
            </w:r>
            <w:r>
              <w:rPr>
                <w:rFonts w:hint="eastAsia" w:ascii="Times New Roman" w:hAnsi="Times New Roman" w:cs="Times New Roman"/>
                <w:szCs w:val="22"/>
              </w:rPr>
              <w:t>”，规定了基础设施的管理要求。</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经现场查看，公司经营地址位于</w:t>
            </w:r>
            <w:r>
              <w:rPr>
                <w:rFonts w:hint="eastAsia" w:ascii="Times New Roman" w:hAnsi="Times New Roman" w:cs="Times New Roman"/>
                <w:szCs w:val="22"/>
                <w:lang w:eastAsia="zh-CN"/>
              </w:rPr>
              <w:t>烟台经济技术开发区华山路22号一栋二楼</w:t>
            </w:r>
            <w:r>
              <w:rPr>
                <w:rFonts w:hint="eastAsia" w:ascii="Times New Roman" w:hAnsi="Times New Roman" w:cs="Times New Roman"/>
                <w:szCs w:val="22"/>
              </w:rPr>
              <w:t>，</w:t>
            </w:r>
            <w:r>
              <w:rPr>
                <w:rFonts w:hint="eastAsia"/>
                <w:szCs w:val="21"/>
                <w:lang w:val="en-US" w:eastAsia="zh-CN"/>
              </w:rPr>
              <w:t>公司办公面积160平米，配置了办公电脑8台；打印/复印机2台；办公桌椅、文件柜等。公司设备配置，主要为销售所用的电脑和打印机等。</w:t>
            </w:r>
            <w:r>
              <w:rPr>
                <w:rFonts w:hint="eastAsia" w:ascii="Times New Roman" w:hAnsi="Times New Roman" w:cs="Times New Roman"/>
                <w:szCs w:val="22"/>
              </w:rPr>
              <w:t>满足Q:</w:t>
            </w:r>
            <w:r>
              <w:rPr>
                <w:rFonts w:hint="eastAsia" w:ascii="Times New Roman" w:hAnsi="Times New Roman" w:cs="Times New Roman"/>
                <w:szCs w:val="22"/>
                <w:lang w:eastAsia="zh-CN"/>
              </w:rPr>
              <w:t>电子产品（石英谐振器）的销售</w:t>
            </w:r>
            <w:r>
              <w:rPr>
                <w:rFonts w:hint="eastAsia" w:ascii="Times New Roman" w:hAnsi="Times New Roman" w:cs="Times New Roman"/>
                <w:szCs w:val="22"/>
              </w:rPr>
              <w:t>需求。</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行政</w:t>
            </w:r>
            <w:r>
              <w:rPr>
                <w:rFonts w:hint="eastAsia" w:ascii="Times New Roman" w:hAnsi="Times New Roman" w:cs="Times New Roman"/>
                <w:szCs w:val="22"/>
                <w:lang w:eastAsia="zh-CN"/>
              </w:rPr>
              <w:t>部</w:t>
            </w:r>
            <w:r>
              <w:rPr>
                <w:rFonts w:hint="eastAsia" w:ascii="Times New Roman" w:hAnsi="Times New Roman" w:cs="Times New Roman"/>
                <w:szCs w:val="22"/>
              </w:rPr>
              <w:t>将设备的日常维护保养落实到具体的操作者</w:t>
            </w:r>
            <w:r>
              <w:rPr>
                <w:rFonts w:hint="eastAsia" w:ascii="Times New Roman" w:hAnsi="Times New Roman" w:cs="Times New Roman"/>
                <w:szCs w:val="22"/>
                <w:lang w:val="en-US" w:eastAsia="zh-CN"/>
              </w:rPr>
              <w:t>，查看的计算机的“维护保养记录”（2021.1</w:t>
            </w:r>
            <w:r>
              <w:rPr>
                <w:rFonts w:hint="eastAsia" w:cs="Times New Roman"/>
                <w:szCs w:val="22"/>
                <w:lang w:val="en-US" w:eastAsia="zh-CN"/>
              </w:rPr>
              <w:t>1</w:t>
            </w:r>
            <w:r>
              <w:rPr>
                <w:rFonts w:hint="eastAsia" w:ascii="Times New Roman" w:hAnsi="Times New Roman" w:cs="Times New Roman"/>
                <w:szCs w:val="22"/>
                <w:lang w:val="en-US" w:eastAsia="zh-CN"/>
              </w:rPr>
              <w:t>.3、202</w:t>
            </w:r>
            <w:r>
              <w:rPr>
                <w:rFonts w:hint="eastAsia" w:cs="Times New Roman"/>
                <w:szCs w:val="22"/>
                <w:lang w:val="en-US" w:eastAsia="zh-CN"/>
              </w:rPr>
              <w:t>2</w:t>
            </w:r>
            <w:r>
              <w:rPr>
                <w:rFonts w:hint="eastAsia" w:ascii="Times New Roman" w:hAnsi="Times New Roman" w:cs="Times New Roman"/>
                <w:szCs w:val="22"/>
                <w:lang w:val="en-US" w:eastAsia="zh-CN"/>
              </w:rPr>
              <w:t>.</w:t>
            </w:r>
            <w:r>
              <w:rPr>
                <w:rFonts w:hint="eastAsia" w:cs="Times New Roman"/>
                <w:szCs w:val="22"/>
                <w:lang w:val="en-US" w:eastAsia="zh-CN"/>
              </w:rPr>
              <w:t>1</w:t>
            </w:r>
            <w:r>
              <w:rPr>
                <w:rFonts w:hint="eastAsia" w:ascii="Times New Roman" w:hAnsi="Times New Roman" w:cs="Times New Roman"/>
                <w:szCs w:val="22"/>
                <w:lang w:val="en-US" w:eastAsia="zh-CN"/>
              </w:rPr>
              <w:t>.5），以上记录均填写完整，清晰，审批签字齐全，设备日常保养符合策划要求。</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部门对基础设施的管理符合规定要求。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过程运行环境</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7.1.4</w:t>
            </w:r>
          </w:p>
        </w:tc>
        <w:tc>
          <w:tcPr>
            <w:tcW w:w="10004" w:type="dxa"/>
            <w:vAlign w:val="top"/>
          </w:tcPr>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电子产品（石英谐振器）的销售过程和办公过程对环境要求一般，无特殊要求，办公室环境卫生较好。</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确定并提供了产品要求所需的工作环境，工作环境适宜，现有工作环境能满足提供合格服务的需要。</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7.1.5</w:t>
            </w:r>
          </w:p>
        </w:tc>
        <w:tc>
          <w:tcPr>
            <w:tcW w:w="10004" w:type="dxa"/>
            <w:vAlign w:val="top"/>
          </w:tcPr>
          <w:p>
            <w:pPr>
              <w:adjustRightInd w:val="0"/>
              <w:snapToGrid w:val="0"/>
              <w:spacing w:line="360" w:lineRule="auto"/>
              <w:rPr>
                <w:rFonts w:hint="eastAsia" w:ascii="宋体" w:hAnsi="宋体" w:cs="新宋体"/>
                <w:color w:val="auto"/>
                <w:szCs w:val="21"/>
              </w:rPr>
            </w:pPr>
            <w:r>
              <w:rPr>
                <w:rFonts w:hint="eastAsia" w:ascii="宋体" w:hAnsi="宋体" w:cs="新宋体"/>
                <w:color w:val="auto"/>
                <w:szCs w:val="21"/>
              </w:rPr>
              <w:t>经查：公司编制的“</w:t>
            </w:r>
            <w:r>
              <w:rPr>
                <w:rFonts w:hint="eastAsia" w:ascii="宋体" w:hAnsi="宋体" w:cs="新宋体"/>
                <w:color w:val="auto"/>
                <w:szCs w:val="21"/>
                <w:lang w:eastAsia="zh-CN"/>
              </w:rPr>
              <w:t>监视和测量资源控制程序</w:t>
            </w:r>
            <w:r>
              <w:rPr>
                <w:rFonts w:hint="eastAsia" w:ascii="宋体" w:hAnsi="宋体" w:cs="新宋体"/>
                <w:color w:val="auto"/>
                <w:szCs w:val="21"/>
              </w:rPr>
              <w:t>”，规定了监视和测量资源的管理要求。公司</w:t>
            </w:r>
            <w:r>
              <w:rPr>
                <w:rFonts w:hint="eastAsia" w:ascii="宋体" w:hAnsi="宋体" w:cs="新宋体"/>
                <w:color w:val="auto"/>
                <w:szCs w:val="21"/>
                <w:lang w:val="en-US" w:eastAsia="zh-CN"/>
              </w:rPr>
              <w:t>的经营业务为销售服务</w:t>
            </w:r>
            <w:r>
              <w:rPr>
                <w:rFonts w:hint="eastAsia" w:ascii="宋体" w:hAnsi="宋体" w:cs="新宋体"/>
                <w:color w:val="auto"/>
                <w:szCs w:val="21"/>
              </w:rPr>
              <w:t>，</w:t>
            </w:r>
            <w:r>
              <w:rPr>
                <w:rFonts w:hint="eastAsia" w:ascii="宋体" w:hAnsi="宋体" w:cs="新宋体"/>
                <w:color w:val="auto"/>
                <w:szCs w:val="21"/>
                <w:lang w:val="en-US" w:eastAsia="zh-CN"/>
              </w:rPr>
              <w:t>暂不需要监视和测量设备</w:t>
            </w:r>
            <w:r>
              <w:rPr>
                <w:rFonts w:hint="eastAsia" w:ascii="宋体" w:hAnsi="宋体" w:cs="新宋体"/>
                <w:color w:val="auto"/>
                <w:szCs w:val="21"/>
              </w:rPr>
              <w:t>。</w:t>
            </w:r>
          </w:p>
          <w:p>
            <w:pPr>
              <w:adjustRightInd w:val="0"/>
              <w:snapToGrid w:val="0"/>
              <w:spacing w:line="360" w:lineRule="auto"/>
              <w:rPr>
                <w:rFonts w:hint="default" w:ascii="宋体" w:hAnsi="宋体" w:cs="新宋体"/>
                <w:color w:val="auto"/>
                <w:szCs w:val="21"/>
                <w:lang w:val="en-US" w:eastAsia="zh-CN"/>
              </w:rPr>
            </w:pPr>
          </w:p>
        </w:tc>
        <w:tc>
          <w:tcPr>
            <w:tcW w:w="1585" w:type="dxa"/>
            <w:vAlign w:val="top"/>
          </w:tcPr>
          <w:p>
            <w:pPr>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Cs w:val="21"/>
              </w:rPr>
            </w:pPr>
            <w:r>
              <w:rPr>
                <w:rFonts w:hint="eastAsia" w:ascii="宋体" w:hAnsi="宋体" w:cs="宋体"/>
                <w:szCs w:val="21"/>
              </w:rPr>
              <w:t>抽见：</w:t>
            </w:r>
            <w:r>
              <w:rPr>
                <w:rFonts w:hint="eastAsia" w:ascii="宋体" w:hAnsi="宋体" w:cs="宋体"/>
                <w:szCs w:val="21"/>
                <w:lang w:val="en-US" w:eastAsia="zh-CN"/>
              </w:rPr>
              <w:t>销售</w:t>
            </w:r>
            <w:r>
              <w:rPr>
                <w:rFonts w:hint="eastAsia" w:ascii="宋体" w:hAnsi="宋体" w:cs="宋体"/>
                <w:szCs w:val="21"/>
              </w:rPr>
              <w:t>人员，文化：</w:t>
            </w:r>
            <w:r>
              <w:rPr>
                <w:rFonts w:hint="eastAsia" w:ascii="宋体" w:hAnsi="宋体" w:cs="宋体"/>
                <w:szCs w:val="21"/>
                <w:lang w:val="en-US" w:eastAsia="zh-CN"/>
              </w:rPr>
              <w:t>大专</w:t>
            </w:r>
            <w:r>
              <w:rPr>
                <w:rFonts w:hint="eastAsia" w:ascii="宋体" w:hAnsi="宋体" w:cs="宋体"/>
                <w:szCs w:val="21"/>
              </w:rPr>
              <w:t>。熟悉产品标准，熟悉石英谐振器</w:t>
            </w:r>
            <w:r>
              <w:rPr>
                <w:rFonts w:hint="eastAsia" w:ascii="宋体" w:hAnsi="宋体" w:cs="宋体"/>
                <w:szCs w:val="21"/>
                <w:lang w:val="en-US" w:eastAsia="zh-CN"/>
              </w:rPr>
              <w:t>的各项技术要求</w:t>
            </w:r>
            <w:r>
              <w:rPr>
                <w:rFonts w:hint="eastAsia" w:ascii="宋体" w:hAnsi="宋体" w:cs="宋体"/>
                <w:szCs w:val="21"/>
              </w:rPr>
              <w:t>等。</w:t>
            </w:r>
          </w:p>
          <w:p>
            <w:pPr>
              <w:spacing w:line="360" w:lineRule="auto"/>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lang w:val="en-US" w:eastAsia="zh-CN"/>
              </w:rPr>
              <w:t>2021</w:t>
            </w:r>
            <w:r>
              <w:rPr>
                <w:rFonts w:hint="eastAsia"/>
              </w:rPr>
              <w:t>年制定与体系运行有关的培训计划。已完成</w:t>
            </w:r>
            <w:r>
              <w:rPr>
                <w:rFonts w:hint="eastAsia"/>
                <w:lang w:val="en-US" w:eastAsia="zh-CN"/>
              </w:rPr>
              <w:t>4</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w:t>
            </w:r>
          </w:p>
          <w:p>
            <w:pPr>
              <w:spacing w:line="360" w:lineRule="auto"/>
              <w:rPr>
                <w:rFonts w:hint="default"/>
                <w:szCs w:val="22"/>
                <w:lang w:val="en-US"/>
              </w:rPr>
            </w:pPr>
            <w:r>
              <w:rPr>
                <w:rFonts w:hint="eastAsia"/>
              </w:rPr>
              <w:t>参加培</w:t>
            </w:r>
            <w:r>
              <w:rPr>
                <w:rFonts w:hint="eastAsia"/>
                <w:szCs w:val="22"/>
              </w:rPr>
              <w:t>训人员：</w:t>
            </w:r>
            <w:r>
              <w:rPr>
                <w:rFonts w:hint="eastAsia"/>
                <w:szCs w:val="22"/>
                <w:lang w:val="en-US" w:eastAsia="zh-CN"/>
              </w:rPr>
              <w:t>所有员工</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w:t>
            </w:r>
            <w:r>
              <w:rPr>
                <w:rFonts w:hint="eastAsia"/>
                <w:lang w:val="en-US" w:eastAsia="zh-CN"/>
              </w:rPr>
              <w:t>质量手册、程序文件</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lang w:val="en-US" w:eastAsia="zh-CN"/>
              </w:rPr>
              <w:t>对</w:t>
            </w:r>
            <w:r>
              <w:rPr>
                <w:rFonts w:hint="eastAsia"/>
                <w:lang w:val="en-US" w:eastAsia="zh-CN"/>
              </w:rPr>
              <w:t>质量手册、程序文件进行了讲解。</w:t>
            </w:r>
          </w:p>
          <w:p>
            <w:pPr>
              <w:spacing w:line="360" w:lineRule="auto"/>
            </w:pPr>
            <w:r>
              <w:rPr>
                <w:rFonts w:hint="eastAsia"/>
              </w:rPr>
              <w:t>培训日期：</w:t>
            </w:r>
            <w: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w:t>
            </w:r>
          </w:p>
          <w:p>
            <w:pPr>
              <w:spacing w:line="360" w:lineRule="auto"/>
              <w:rPr>
                <w:rFonts w:hint="default"/>
                <w:lang w:val="en-US"/>
              </w:rPr>
            </w:pPr>
            <w:r>
              <w:rPr>
                <w:rFonts w:hint="eastAsia"/>
              </w:rPr>
              <w:t>参加培训人员：</w:t>
            </w:r>
            <w:r>
              <w:rPr>
                <w:rFonts w:hint="eastAsia"/>
                <w:lang w:val="en-US" w:eastAsia="zh-CN"/>
              </w:rPr>
              <w:t>全体员工</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rPr>
                <w:rFonts w:hint="default" w:eastAsia="宋体"/>
                <w:lang w:val="en-US" w:eastAsia="zh-CN"/>
              </w:rPr>
            </w:pPr>
            <w:r>
              <w:rPr>
                <w:rFonts w:hint="eastAsia"/>
              </w:rPr>
              <w:t>培训题目：</w:t>
            </w:r>
            <w:r>
              <w:rPr>
                <w:rFonts w:hint="eastAsia" w:ascii="宋体" w:hAnsi="宋体" w:cs="宋体"/>
                <w:szCs w:val="21"/>
                <w:lang w:val="en-US" w:eastAsia="zh-CN"/>
              </w:rPr>
              <w:t>质量方针、目标和组织架构</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cs="宋体"/>
                <w:szCs w:val="21"/>
                <w:lang w:val="en-US" w:eastAsia="zh-CN"/>
              </w:rPr>
              <w:t>质量方针、目标和组织架构</w:t>
            </w:r>
          </w:p>
          <w:p>
            <w:pPr>
              <w:spacing w:line="360" w:lineRule="auto"/>
            </w:pPr>
            <w:r>
              <w:rPr>
                <w:rFonts w:hint="eastAsia"/>
              </w:rPr>
              <w:t>培训日期：</w:t>
            </w:r>
            <w: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p>
            <w:pPr>
              <w:spacing w:line="360" w:lineRule="auto"/>
              <w:rPr>
                <w:rFonts w:hint="eastAsia" w:eastAsia="宋体"/>
                <w:lang w:eastAsia="zh-CN"/>
              </w:rPr>
            </w:pPr>
            <w:r>
              <w:rPr>
                <w:rFonts w:hint="eastAsia"/>
              </w:rPr>
              <w:t>参加培训人员：</w:t>
            </w:r>
            <w:r>
              <w:rPr>
                <w:rFonts w:hint="eastAsia" w:ascii="宋体" w:hAnsi="宋体"/>
                <w:szCs w:val="21"/>
              </w:rPr>
              <w:t>全体</w:t>
            </w:r>
            <w:r>
              <w:rPr>
                <w:rFonts w:hint="eastAsia" w:ascii="宋体" w:hAnsi="宋体"/>
                <w:szCs w:val="21"/>
                <w:lang w:val="en-US" w:eastAsia="zh-CN"/>
              </w:rPr>
              <w:t>员工</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公司质量管理体系文件包括：质量手册、程序文件、作业文件、外来文件、记录等。已建立“受控文件清单”。查：公司质量《管理手册》、文件编号：QMS/GD-2021/A，于</w:t>
            </w:r>
            <w:r>
              <w:rPr>
                <w:rFonts w:hint="eastAsia"/>
                <w:lang w:eastAsia="zh-CN"/>
              </w:rPr>
              <w:t>2020</w:t>
            </w:r>
            <w:r>
              <w:rPr>
                <w:rFonts w:hint="eastAsia"/>
              </w:rPr>
              <w:t>年</w:t>
            </w:r>
            <w:r>
              <w:rPr>
                <w:rFonts w:hint="eastAsia"/>
                <w:lang w:val="en-US" w:eastAsia="zh-CN"/>
              </w:rPr>
              <w:t>12月8</w:t>
            </w:r>
            <w:r>
              <w:rPr>
                <w:rFonts w:hint="eastAsia"/>
              </w:rPr>
              <w:t>日发布</w:t>
            </w:r>
            <w:r>
              <w:rPr>
                <w:rFonts w:hint="eastAsia"/>
                <w:lang w:eastAsia="zh-CN"/>
              </w:rPr>
              <w:t>2020</w:t>
            </w:r>
            <w:r>
              <w:rPr>
                <w:rFonts w:hint="eastAsia"/>
              </w:rPr>
              <w:t>年</w:t>
            </w:r>
            <w:r>
              <w:rPr>
                <w:rFonts w:hint="eastAsia"/>
                <w:lang w:val="en-US" w:eastAsia="zh-CN"/>
              </w:rPr>
              <w:t>12月8</w:t>
            </w:r>
            <w:r>
              <w:rPr>
                <w:rFonts w:hint="eastAsia"/>
              </w:rPr>
              <w:t>日实施，目前版本为A版。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w:t>
            </w:r>
            <w:r>
              <w:rPr>
                <w:rFonts w:hint="eastAsia"/>
                <w:lang w:eastAsia="zh-CN"/>
              </w:rPr>
              <w:t>、中华人民共和国招标投标法、</w:t>
            </w:r>
            <w:r>
              <w:rPr>
                <w:rFonts w:hint="eastAsia"/>
              </w:rPr>
              <w:t>等外来文件，控制分发，有专人负责。</w:t>
            </w:r>
          </w:p>
          <w:p>
            <w:pPr>
              <w:spacing w:line="360" w:lineRule="auto"/>
            </w:pPr>
            <w:r>
              <w:rPr>
                <w:rFonts w:hint="eastAsia"/>
              </w:rPr>
              <w:t>已建立“记录清单”内容含盖：序号、记录名称、记录编号、保存部门、保存期限。</w:t>
            </w:r>
          </w:p>
          <w:p>
            <w:pPr>
              <w:spacing w:line="360" w:lineRule="auto"/>
              <w:rPr>
                <w:rFonts w:hint="default" w:eastAsia="宋体"/>
                <w:lang w:val="en-US" w:eastAsia="zh-CN"/>
              </w:rPr>
            </w:pPr>
            <w:r>
              <w:rPr>
                <w:rFonts w:hint="eastAsia"/>
              </w:rPr>
              <w:t>现场查看，文件、记录保持清晰，保存完好。</w:t>
            </w:r>
            <w:r>
              <w:rPr>
                <w:rFonts w:hint="eastAsia"/>
                <w:lang w:val="en-US" w:eastAsia="zh-CN"/>
              </w:rPr>
              <w:t>上次审核至今未发送变化。</w:t>
            </w:r>
          </w:p>
          <w:p>
            <w:pPr>
              <w:spacing w:line="360" w:lineRule="auto"/>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960" w:type="dxa"/>
            <w:vAlign w:val="center"/>
          </w:tcPr>
          <w:p>
            <w:pPr>
              <w:rPr>
                <w:rFonts w:ascii="Times New Roman" w:hAnsi="Times New Roman" w:eastAsia="宋体" w:cs="Times New Roman"/>
                <w:kern w:val="2"/>
                <w:sz w:val="21"/>
                <w:lang w:val="en-US" w:eastAsia="zh-CN" w:bidi="ar-SA"/>
              </w:rPr>
            </w:pPr>
            <w:r>
              <w:t>9.2</w:t>
            </w:r>
          </w:p>
        </w:tc>
        <w:tc>
          <w:tcPr>
            <w:tcW w:w="10004" w:type="dxa"/>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2</w:t>
            </w:r>
            <w:r>
              <w:rPr>
                <w:rFonts w:hint="eastAsia"/>
              </w:rPr>
              <w:t>年</w:t>
            </w:r>
            <w:r>
              <w:rPr>
                <w:rFonts w:hint="eastAsia"/>
                <w:lang w:val="en-US" w:eastAsia="zh-CN"/>
              </w:rPr>
              <w:t>2</w:t>
            </w:r>
            <w:r>
              <w:rPr>
                <w:rFonts w:hint="eastAsia"/>
              </w:rPr>
              <w:t>月1</w:t>
            </w:r>
            <w:r>
              <w:rPr>
                <w:rFonts w:hint="eastAsia"/>
                <w:lang w:val="en-US" w:eastAsia="zh-CN"/>
              </w:rPr>
              <w:t>1</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ascii="Times New Roman" w:hAnsi="Times New Roman" w:eastAsia="宋体" w:cs="Times New Roman"/>
                <w:kern w:val="2"/>
                <w:sz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w:t>
            </w:r>
          </w:p>
          <w:p>
            <w:pPr>
              <w:spacing w:line="360" w:lineRule="auto"/>
              <w:rPr>
                <w:rFonts w:hint="eastAsia" w:ascii="Times New Roman" w:hAnsi="Times New Roman" w:eastAsia="宋体" w:cs="Times New Roman"/>
                <w:kern w:val="2"/>
                <w:sz w:val="21"/>
                <w:lang w:val="en-US" w:eastAsia="zh-CN" w:bidi="ar-SA"/>
              </w:rPr>
            </w:pPr>
          </w:p>
        </w:tc>
        <w:tc>
          <w:tcPr>
            <w:tcW w:w="10004" w:type="dxa"/>
            <w:vAlign w:val="center"/>
          </w:tcPr>
          <w:p>
            <w:pPr>
              <w:spacing w:line="360" w:lineRule="auto"/>
              <w:rPr>
                <w:rFonts w:ascii="Times New Roman" w:hAnsi="Times New Roman" w:eastAsia="宋体" w:cs="Times New Roman"/>
                <w:kern w:val="2"/>
                <w:sz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3683C2A"/>
    <w:rsid w:val="041776F3"/>
    <w:rsid w:val="04DC6A7A"/>
    <w:rsid w:val="06F12B09"/>
    <w:rsid w:val="07FF25B7"/>
    <w:rsid w:val="0B2923EB"/>
    <w:rsid w:val="1009385E"/>
    <w:rsid w:val="11705158"/>
    <w:rsid w:val="135C4A5C"/>
    <w:rsid w:val="138166F3"/>
    <w:rsid w:val="14791AC4"/>
    <w:rsid w:val="1496079E"/>
    <w:rsid w:val="14E63DF1"/>
    <w:rsid w:val="14EF4B91"/>
    <w:rsid w:val="159743A0"/>
    <w:rsid w:val="15F80D88"/>
    <w:rsid w:val="163F7652"/>
    <w:rsid w:val="16ED6515"/>
    <w:rsid w:val="17B867E4"/>
    <w:rsid w:val="1B09174B"/>
    <w:rsid w:val="1BD14F76"/>
    <w:rsid w:val="1D003010"/>
    <w:rsid w:val="1D557E31"/>
    <w:rsid w:val="21BA243D"/>
    <w:rsid w:val="21EA73C7"/>
    <w:rsid w:val="224C1E56"/>
    <w:rsid w:val="23C261B5"/>
    <w:rsid w:val="260E0837"/>
    <w:rsid w:val="27861120"/>
    <w:rsid w:val="282206FB"/>
    <w:rsid w:val="28831B95"/>
    <w:rsid w:val="28B43B3B"/>
    <w:rsid w:val="2B216E5F"/>
    <w:rsid w:val="2B6A775D"/>
    <w:rsid w:val="2E540731"/>
    <w:rsid w:val="2F132B25"/>
    <w:rsid w:val="31137B7F"/>
    <w:rsid w:val="332E3623"/>
    <w:rsid w:val="33F25F67"/>
    <w:rsid w:val="340B1626"/>
    <w:rsid w:val="3515661D"/>
    <w:rsid w:val="36486A13"/>
    <w:rsid w:val="37500E07"/>
    <w:rsid w:val="3C4E12AC"/>
    <w:rsid w:val="4181460D"/>
    <w:rsid w:val="419C5B76"/>
    <w:rsid w:val="43CF57F5"/>
    <w:rsid w:val="44304169"/>
    <w:rsid w:val="45034BA2"/>
    <w:rsid w:val="461D3330"/>
    <w:rsid w:val="485A0B26"/>
    <w:rsid w:val="496F1666"/>
    <w:rsid w:val="4E7F74AD"/>
    <w:rsid w:val="4F1656C9"/>
    <w:rsid w:val="509C57E4"/>
    <w:rsid w:val="543A3B58"/>
    <w:rsid w:val="55BB2D17"/>
    <w:rsid w:val="56726B5A"/>
    <w:rsid w:val="57CF0326"/>
    <w:rsid w:val="58521A22"/>
    <w:rsid w:val="588F4BF8"/>
    <w:rsid w:val="5B14316E"/>
    <w:rsid w:val="5C6C76F3"/>
    <w:rsid w:val="61160CEF"/>
    <w:rsid w:val="618C6989"/>
    <w:rsid w:val="630654DA"/>
    <w:rsid w:val="64290181"/>
    <w:rsid w:val="65CE2F52"/>
    <w:rsid w:val="68602915"/>
    <w:rsid w:val="6F4A1488"/>
    <w:rsid w:val="70570BEF"/>
    <w:rsid w:val="718B3719"/>
    <w:rsid w:val="72422154"/>
    <w:rsid w:val="72892F76"/>
    <w:rsid w:val="768C191D"/>
    <w:rsid w:val="77E771A8"/>
    <w:rsid w:val="791B025A"/>
    <w:rsid w:val="7A8F3E08"/>
    <w:rsid w:val="7DD56214"/>
    <w:rsid w:val="7E956338"/>
    <w:rsid w:val="7ECE1B06"/>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2022-04-21T07:23:48Z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AADD865E2C33413EBEC7992E57F76ADF</vt:lpwstr>
  </property>
</Properties>
</file>