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C2621F" w:rsidRPr="0030479C" w:rsidRDefault="00CE5C79" w:rsidP="0030479C">
      <w:pPr>
        <w:snapToGrid w:val="0"/>
        <w:spacing w:line="360" w:lineRule="auto"/>
        <w:ind w:firstLineChars="200" w:firstLine="420"/>
        <w:rPr>
          <w:rFonts w:hAnsi="宋体"/>
          <w:color w:val="000000"/>
          <w:szCs w:val="21"/>
        </w:rPr>
      </w:pPr>
      <w:r w:rsidRPr="0030479C">
        <w:rPr>
          <w:rFonts w:hAnsi="宋体"/>
          <w:color w:val="000000"/>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30479C" w:rsidTr="00C2621F">
        <w:trPr>
          <w:trHeight w:val="515"/>
        </w:trPr>
        <w:tc>
          <w:tcPr>
            <w:tcW w:w="1242" w:type="dxa"/>
            <w:vMerge w:val="restart"/>
            <w:vAlign w:val="center"/>
          </w:tcPr>
          <w:p w:rsidR="00DF525C" w:rsidRPr="0030479C" w:rsidRDefault="00DF525C" w:rsidP="00E2642D">
            <w:pPr>
              <w:snapToGrid w:val="0"/>
              <w:spacing w:line="360" w:lineRule="auto"/>
              <w:rPr>
                <w:rFonts w:hAnsi="宋体"/>
                <w:color w:val="000000"/>
                <w:szCs w:val="21"/>
              </w:rPr>
            </w:pPr>
            <w:r w:rsidRPr="0030479C">
              <w:rPr>
                <w:rFonts w:hAnsi="宋体"/>
                <w:color w:val="000000"/>
                <w:szCs w:val="21"/>
              </w:rPr>
              <w:t>过程与活动、</w:t>
            </w:r>
          </w:p>
          <w:p w:rsidR="00DF525C" w:rsidRPr="0030479C" w:rsidRDefault="00DF525C" w:rsidP="00E2642D">
            <w:pPr>
              <w:snapToGrid w:val="0"/>
              <w:spacing w:line="360" w:lineRule="auto"/>
              <w:rPr>
                <w:rFonts w:hAnsi="宋体"/>
                <w:color w:val="000000"/>
                <w:szCs w:val="21"/>
              </w:rPr>
            </w:pPr>
            <w:r w:rsidRPr="0030479C">
              <w:rPr>
                <w:rFonts w:hAnsi="宋体"/>
                <w:color w:val="000000"/>
                <w:szCs w:val="21"/>
              </w:rPr>
              <w:t>抽样计划</w:t>
            </w:r>
          </w:p>
        </w:tc>
        <w:tc>
          <w:tcPr>
            <w:tcW w:w="1276" w:type="dxa"/>
            <w:vMerge w:val="restart"/>
            <w:vAlign w:val="center"/>
          </w:tcPr>
          <w:p w:rsidR="00DF525C" w:rsidRPr="0030479C" w:rsidRDefault="00DF525C" w:rsidP="00E2642D">
            <w:pPr>
              <w:snapToGrid w:val="0"/>
              <w:spacing w:line="360" w:lineRule="auto"/>
              <w:rPr>
                <w:rFonts w:hAnsi="宋体"/>
                <w:color w:val="000000"/>
                <w:szCs w:val="21"/>
              </w:rPr>
            </w:pPr>
            <w:r w:rsidRPr="0030479C">
              <w:rPr>
                <w:rFonts w:hAnsi="宋体"/>
                <w:color w:val="000000"/>
                <w:szCs w:val="21"/>
              </w:rPr>
              <w:t>涉及条款</w:t>
            </w:r>
          </w:p>
        </w:tc>
        <w:tc>
          <w:tcPr>
            <w:tcW w:w="10606" w:type="dxa"/>
            <w:vAlign w:val="center"/>
          </w:tcPr>
          <w:p w:rsidR="00DF525C" w:rsidRPr="0030479C" w:rsidRDefault="00613D91" w:rsidP="0030479C">
            <w:pPr>
              <w:snapToGrid w:val="0"/>
              <w:spacing w:line="360" w:lineRule="auto"/>
              <w:ind w:firstLineChars="200" w:firstLine="420"/>
              <w:rPr>
                <w:rFonts w:hAnsi="宋体"/>
                <w:color w:val="000000"/>
                <w:szCs w:val="21"/>
              </w:rPr>
            </w:pPr>
            <w:r w:rsidRPr="0030479C">
              <w:rPr>
                <w:rFonts w:hAnsi="宋体"/>
                <w:color w:val="000000"/>
                <w:szCs w:val="21"/>
              </w:rPr>
              <w:t>受审核部门：</w:t>
            </w:r>
            <w:r w:rsidR="00B20E32" w:rsidRPr="0030479C">
              <w:rPr>
                <w:rFonts w:hAnsi="宋体" w:hint="eastAsia"/>
                <w:color w:val="000000"/>
                <w:szCs w:val="21"/>
              </w:rPr>
              <w:t>管理层</w:t>
            </w:r>
            <w:r w:rsidR="00DF525C" w:rsidRPr="0030479C">
              <w:rPr>
                <w:rFonts w:hAnsi="宋体"/>
                <w:color w:val="000000"/>
                <w:szCs w:val="21"/>
              </w:rPr>
              <w:t xml:space="preserve">  </w:t>
            </w:r>
            <w:r w:rsidR="00A13B08" w:rsidRPr="0030479C">
              <w:rPr>
                <w:rFonts w:hAnsi="宋体" w:hint="eastAsia"/>
                <w:color w:val="000000"/>
                <w:szCs w:val="21"/>
              </w:rPr>
              <w:t xml:space="preserve">    </w:t>
            </w:r>
            <w:r w:rsidR="00DF525C" w:rsidRPr="0030479C">
              <w:rPr>
                <w:rFonts w:hAnsi="宋体"/>
                <w:color w:val="000000"/>
                <w:szCs w:val="21"/>
              </w:rPr>
              <w:t>主管领导</w:t>
            </w:r>
            <w:r w:rsidR="00A13B08" w:rsidRPr="0030479C">
              <w:rPr>
                <w:rFonts w:hAnsi="宋体" w:hint="eastAsia"/>
                <w:color w:val="000000"/>
                <w:szCs w:val="21"/>
              </w:rPr>
              <w:t>/</w:t>
            </w:r>
            <w:r w:rsidR="00DF525C" w:rsidRPr="0030479C">
              <w:rPr>
                <w:rFonts w:hAnsi="宋体"/>
                <w:color w:val="000000"/>
                <w:szCs w:val="21"/>
              </w:rPr>
              <w:t>陪同人员：</w:t>
            </w:r>
            <w:r w:rsidR="000C03E0">
              <w:rPr>
                <w:rFonts w:hAnsi="宋体"/>
                <w:color w:val="000000"/>
                <w:szCs w:val="21"/>
              </w:rPr>
              <w:t>徐长武</w:t>
            </w:r>
          </w:p>
        </w:tc>
        <w:tc>
          <w:tcPr>
            <w:tcW w:w="1585" w:type="dxa"/>
            <w:vMerge w:val="restart"/>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判定</w:t>
            </w:r>
          </w:p>
        </w:tc>
      </w:tr>
      <w:tr w:rsidR="00DF525C" w:rsidRPr="0030479C" w:rsidTr="00C2621F">
        <w:trPr>
          <w:trHeight w:val="403"/>
        </w:trPr>
        <w:tc>
          <w:tcPr>
            <w:tcW w:w="1242"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审核员：</w:t>
            </w:r>
            <w:r w:rsidR="00413233" w:rsidRPr="0030479C">
              <w:rPr>
                <w:rFonts w:hAnsi="宋体" w:hint="eastAsia"/>
                <w:color w:val="000000"/>
                <w:szCs w:val="21"/>
              </w:rPr>
              <w:t>曾赣玲</w:t>
            </w:r>
            <w:r w:rsidR="00D63F73" w:rsidRPr="0030479C">
              <w:rPr>
                <w:rFonts w:hAnsi="宋体" w:hint="eastAsia"/>
                <w:color w:val="000000"/>
                <w:szCs w:val="21"/>
              </w:rPr>
              <w:t xml:space="preserve">  </w:t>
            </w:r>
            <w:r w:rsidR="00E911D0" w:rsidRPr="0030479C">
              <w:rPr>
                <w:rFonts w:hAnsi="宋体" w:hint="eastAsia"/>
                <w:color w:val="000000"/>
                <w:szCs w:val="21"/>
              </w:rPr>
              <w:t xml:space="preserve">          </w:t>
            </w:r>
            <w:r w:rsidRPr="0030479C">
              <w:rPr>
                <w:rFonts w:hAnsi="宋体"/>
                <w:color w:val="000000"/>
                <w:szCs w:val="21"/>
              </w:rPr>
              <w:t>审核时间：</w:t>
            </w:r>
            <w:r w:rsidRPr="0030479C">
              <w:rPr>
                <w:rFonts w:hAnsi="宋体"/>
                <w:color w:val="000000"/>
                <w:szCs w:val="21"/>
              </w:rPr>
              <w:t>20</w:t>
            </w:r>
            <w:r w:rsidR="00A13B08" w:rsidRPr="0030479C">
              <w:rPr>
                <w:rFonts w:hAnsi="宋体" w:hint="eastAsia"/>
                <w:color w:val="000000"/>
                <w:szCs w:val="21"/>
              </w:rPr>
              <w:t>2</w:t>
            </w:r>
            <w:r w:rsidR="00447576" w:rsidRPr="0030479C">
              <w:rPr>
                <w:rFonts w:hAnsi="宋体" w:hint="eastAsia"/>
                <w:color w:val="000000"/>
                <w:szCs w:val="21"/>
              </w:rPr>
              <w:t>2</w:t>
            </w:r>
            <w:r w:rsidR="00A86046" w:rsidRPr="0030479C">
              <w:rPr>
                <w:rFonts w:hAnsi="宋体"/>
                <w:color w:val="000000"/>
                <w:szCs w:val="21"/>
              </w:rPr>
              <w:t>.</w:t>
            </w:r>
            <w:r w:rsidR="00413233" w:rsidRPr="0030479C">
              <w:rPr>
                <w:rFonts w:hAnsi="宋体" w:hint="eastAsia"/>
                <w:color w:val="000000"/>
                <w:szCs w:val="21"/>
              </w:rPr>
              <w:t>4</w:t>
            </w:r>
            <w:r w:rsidR="00613D91" w:rsidRPr="0030479C">
              <w:rPr>
                <w:rFonts w:hAnsi="宋体" w:hint="eastAsia"/>
                <w:color w:val="000000"/>
                <w:szCs w:val="21"/>
              </w:rPr>
              <w:t>.</w:t>
            </w:r>
            <w:r w:rsidR="00413233" w:rsidRPr="0030479C">
              <w:rPr>
                <w:rFonts w:hAnsi="宋体" w:hint="eastAsia"/>
                <w:color w:val="000000"/>
                <w:szCs w:val="21"/>
              </w:rPr>
              <w:t>15</w:t>
            </w:r>
          </w:p>
        </w:tc>
        <w:tc>
          <w:tcPr>
            <w:tcW w:w="1585" w:type="dxa"/>
            <w:vMerge/>
          </w:tcPr>
          <w:p w:rsidR="00DF525C" w:rsidRPr="0030479C" w:rsidRDefault="00DF525C" w:rsidP="0030479C">
            <w:pPr>
              <w:snapToGrid w:val="0"/>
              <w:spacing w:line="360" w:lineRule="auto"/>
              <w:ind w:firstLineChars="200" w:firstLine="420"/>
              <w:rPr>
                <w:rFonts w:hAnsi="宋体"/>
                <w:color w:val="000000"/>
                <w:szCs w:val="21"/>
              </w:rPr>
            </w:pPr>
          </w:p>
        </w:tc>
      </w:tr>
      <w:tr w:rsidR="00DF525C" w:rsidRPr="0030479C" w:rsidTr="00C2621F">
        <w:trPr>
          <w:trHeight w:val="516"/>
        </w:trPr>
        <w:tc>
          <w:tcPr>
            <w:tcW w:w="1242"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审核条款：</w:t>
            </w:r>
          </w:p>
          <w:p w:rsidR="003658B7" w:rsidRPr="0030479C" w:rsidRDefault="00386324" w:rsidP="0030479C">
            <w:pPr>
              <w:snapToGrid w:val="0"/>
              <w:spacing w:line="360" w:lineRule="auto"/>
              <w:ind w:firstLineChars="200" w:firstLine="420"/>
              <w:rPr>
                <w:rFonts w:hAnsi="宋体"/>
                <w:color w:val="000000"/>
                <w:szCs w:val="21"/>
              </w:rPr>
            </w:pPr>
            <w:r w:rsidRPr="0030479C">
              <w:rPr>
                <w:rFonts w:hAnsi="宋体" w:hint="eastAsia"/>
                <w:color w:val="000000"/>
                <w:szCs w:val="21"/>
              </w:rPr>
              <w:t xml:space="preserve">QEO:4.1 </w:t>
            </w:r>
            <w:r w:rsidRPr="0030479C">
              <w:rPr>
                <w:rFonts w:hAnsi="宋体" w:hint="eastAsia"/>
                <w:color w:val="000000"/>
                <w:szCs w:val="21"/>
              </w:rPr>
              <w:t>理解组织及其环境、</w:t>
            </w:r>
            <w:r w:rsidRPr="0030479C">
              <w:rPr>
                <w:rFonts w:hAnsi="宋体" w:hint="eastAsia"/>
                <w:color w:val="000000"/>
                <w:szCs w:val="21"/>
              </w:rPr>
              <w:t xml:space="preserve">4.2 </w:t>
            </w:r>
            <w:r w:rsidRPr="0030479C">
              <w:rPr>
                <w:rFonts w:hAnsi="宋体" w:hint="eastAsia"/>
                <w:color w:val="000000"/>
                <w:szCs w:val="21"/>
              </w:rPr>
              <w:t>理解相关方的需求和期望、</w:t>
            </w:r>
            <w:r w:rsidRPr="0030479C">
              <w:rPr>
                <w:rFonts w:hAnsi="宋体" w:hint="eastAsia"/>
                <w:color w:val="000000"/>
                <w:szCs w:val="21"/>
              </w:rPr>
              <w:t xml:space="preserve">4.3 </w:t>
            </w:r>
            <w:r w:rsidRPr="0030479C">
              <w:rPr>
                <w:rFonts w:hAnsi="宋体" w:hint="eastAsia"/>
                <w:color w:val="000000"/>
                <w:szCs w:val="21"/>
              </w:rPr>
              <w:t>确定管理体系的范围、</w:t>
            </w:r>
            <w:r w:rsidRPr="0030479C">
              <w:rPr>
                <w:rFonts w:hAnsi="宋体" w:hint="eastAsia"/>
                <w:color w:val="000000"/>
                <w:szCs w:val="21"/>
              </w:rPr>
              <w:t>4.4</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职业健康安全管理体系及其过程、</w:t>
            </w:r>
            <w:r w:rsidRPr="0030479C">
              <w:rPr>
                <w:rFonts w:hAnsi="宋体" w:hint="eastAsia"/>
                <w:color w:val="000000"/>
                <w:szCs w:val="21"/>
              </w:rPr>
              <w:t>5.1</w:t>
            </w:r>
            <w:r w:rsidRPr="0030479C">
              <w:rPr>
                <w:rFonts w:hAnsi="宋体" w:hint="eastAsia"/>
                <w:color w:val="000000"/>
                <w:szCs w:val="21"/>
              </w:rPr>
              <w:t>领导作用和承诺、</w:t>
            </w:r>
            <w:r w:rsidRPr="0030479C">
              <w:rPr>
                <w:rFonts w:hAnsi="宋体" w:hint="eastAsia"/>
                <w:color w:val="000000"/>
                <w:szCs w:val="21"/>
              </w:rPr>
              <w:t xml:space="preserve">5.2 </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环境方针、</w:t>
            </w:r>
            <w:r w:rsidRPr="0030479C">
              <w:rPr>
                <w:rFonts w:hAnsi="宋体" w:hint="eastAsia"/>
                <w:color w:val="000000"/>
                <w:szCs w:val="21"/>
              </w:rPr>
              <w:t xml:space="preserve">5.3 </w:t>
            </w:r>
            <w:r w:rsidRPr="0030479C">
              <w:rPr>
                <w:rFonts w:hAnsi="宋体" w:hint="eastAsia"/>
                <w:color w:val="000000"/>
                <w:szCs w:val="21"/>
              </w:rPr>
              <w:t>组织的岗位、职责和权限</w:t>
            </w:r>
            <w:r w:rsidRPr="0030479C">
              <w:rPr>
                <w:rFonts w:hAnsi="宋体" w:hint="eastAsia"/>
                <w:color w:val="000000"/>
                <w:szCs w:val="21"/>
              </w:rPr>
              <w:t xml:space="preserve"> 6.1</w:t>
            </w:r>
            <w:r w:rsidRPr="0030479C">
              <w:rPr>
                <w:rFonts w:hAnsi="宋体" w:hint="eastAsia"/>
                <w:color w:val="000000"/>
                <w:szCs w:val="21"/>
              </w:rPr>
              <w:t>应对风险和机遇的措施、</w:t>
            </w:r>
            <w:r w:rsidRPr="0030479C">
              <w:rPr>
                <w:rFonts w:hAnsi="宋体" w:hint="eastAsia"/>
                <w:color w:val="000000"/>
                <w:szCs w:val="21"/>
              </w:rPr>
              <w:t>6.2</w:t>
            </w: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环境、职业健康安全目标及其实现的策划、</w:t>
            </w:r>
            <w:r w:rsidRPr="0030479C">
              <w:rPr>
                <w:rFonts w:hAnsi="宋体" w:hint="eastAsia"/>
                <w:color w:val="000000"/>
                <w:szCs w:val="21"/>
              </w:rPr>
              <w:t xml:space="preserve">Q6.3 </w:t>
            </w:r>
            <w:r w:rsidRPr="0030479C">
              <w:rPr>
                <w:rFonts w:hAnsi="宋体" w:hint="eastAsia"/>
                <w:color w:val="000000"/>
                <w:szCs w:val="21"/>
              </w:rPr>
              <w:t>变更的策划、</w:t>
            </w:r>
            <w:r w:rsidRPr="0030479C">
              <w:rPr>
                <w:rFonts w:hAnsi="宋体" w:hint="eastAsia"/>
                <w:color w:val="000000"/>
                <w:szCs w:val="21"/>
              </w:rPr>
              <w:t>7.1.1</w:t>
            </w:r>
            <w:r w:rsidRPr="0030479C">
              <w:rPr>
                <w:rFonts w:hAnsi="宋体" w:hint="eastAsia"/>
                <w:color w:val="000000"/>
                <w:szCs w:val="21"/>
              </w:rPr>
              <w:t>（</w:t>
            </w:r>
            <w:r w:rsidRPr="0030479C">
              <w:rPr>
                <w:rFonts w:hAnsi="宋体" w:hint="eastAsia"/>
                <w:color w:val="000000"/>
                <w:szCs w:val="21"/>
              </w:rPr>
              <w:t>EO7.1</w:t>
            </w:r>
            <w:r w:rsidRPr="0030479C">
              <w:rPr>
                <w:rFonts w:hAnsi="宋体" w:hint="eastAsia"/>
                <w:color w:val="000000"/>
                <w:szCs w:val="21"/>
              </w:rPr>
              <w:t>）资源总则、</w:t>
            </w:r>
            <w:r w:rsidRPr="0030479C">
              <w:rPr>
                <w:rFonts w:hAnsi="宋体" w:hint="eastAsia"/>
                <w:color w:val="000000"/>
                <w:szCs w:val="21"/>
              </w:rPr>
              <w:t xml:space="preserve">7.4 </w:t>
            </w:r>
            <w:r w:rsidRPr="0030479C">
              <w:rPr>
                <w:rFonts w:hAnsi="宋体" w:hint="eastAsia"/>
                <w:color w:val="000000"/>
                <w:szCs w:val="21"/>
              </w:rPr>
              <w:t>沟通</w:t>
            </w:r>
            <w:r w:rsidRPr="0030479C">
              <w:rPr>
                <w:rFonts w:hAnsi="宋体" w:hint="eastAsia"/>
                <w:color w:val="000000"/>
                <w:szCs w:val="21"/>
              </w:rPr>
              <w:t>/</w:t>
            </w:r>
            <w:r w:rsidRPr="0030479C">
              <w:rPr>
                <w:rFonts w:hAnsi="宋体" w:hint="eastAsia"/>
                <w:color w:val="000000"/>
                <w:szCs w:val="21"/>
              </w:rPr>
              <w:t>信息交流、</w:t>
            </w:r>
            <w:r w:rsidRPr="0030479C">
              <w:rPr>
                <w:rFonts w:hAnsi="宋体" w:hint="eastAsia"/>
                <w:color w:val="000000"/>
                <w:szCs w:val="21"/>
              </w:rPr>
              <w:t>O5.4</w:t>
            </w:r>
            <w:r w:rsidRPr="0030479C">
              <w:rPr>
                <w:rFonts w:hAnsi="宋体" w:hint="eastAsia"/>
                <w:color w:val="000000"/>
                <w:szCs w:val="21"/>
              </w:rPr>
              <w:t>协商与参与、</w:t>
            </w:r>
            <w:r w:rsidRPr="0030479C">
              <w:rPr>
                <w:rFonts w:hAnsi="宋体" w:hint="eastAsia"/>
                <w:color w:val="000000"/>
                <w:szCs w:val="21"/>
              </w:rPr>
              <w:t>9.3</w:t>
            </w:r>
            <w:r w:rsidRPr="0030479C">
              <w:rPr>
                <w:rFonts w:hAnsi="宋体" w:hint="eastAsia"/>
                <w:color w:val="000000"/>
                <w:szCs w:val="21"/>
              </w:rPr>
              <w:t>管理评审、</w:t>
            </w:r>
            <w:r w:rsidRPr="0030479C">
              <w:rPr>
                <w:rFonts w:hAnsi="宋体" w:hint="eastAsia"/>
                <w:color w:val="000000"/>
                <w:szCs w:val="21"/>
              </w:rPr>
              <w:t>10.1</w:t>
            </w:r>
            <w:r w:rsidRPr="0030479C">
              <w:rPr>
                <w:rFonts w:hAnsi="宋体" w:hint="eastAsia"/>
                <w:color w:val="000000"/>
                <w:szCs w:val="21"/>
              </w:rPr>
              <w:t>改进、</w:t>
            </w:r>
            <w:r w:rsidRPr="0030479C">
              <w:rPr>
                <w:rFonts w:hAnsi="宋体" w:hint="eastAsia"/>
                <w:color w:val="000000"/>
                <w:szCs w:val="21"/>
              </w:rPr>
              <w:t>10.3</w:t>
            </w:r>
            <w:r w:rsidRPr="0030479C">
              <w:rPr>
                <w:rFonts w:hAnsi="宋体" w:hint="eastAsia"/>
                <w:color w:val="000000"/>
                <w:szCs w:val="21"/>
              </w:rPr>
              <w:t>持续改进，标准</w:t>
            </w:r>
            <w:r w:rsidRPr="0030479C">
              <w:rPr>
                <w:rFonts w:hAnsi="宋体" w:hint="eastAsia"/>
                <w:color w:val="000000"/>
                <w:szCs w:val="21"/>
              </w:rPr>
              <w:t>/</w:t>
            </w:r>
            <w:r w:rsidRPr="0030479C">
              <w:rPr>
                <w:rFonts w:hAnsi="宋体" w:hint="eastAsia"/>
                <w:color w:val="000000"/>
                <w:szCs w:val="21"/>
              </w:rPr>
              <w:t>规范</w:t>
            </w:r>
            <w:r w:rsidRPr="0030479C">
              <w:rPr>
                <w:rFonts w:hAnsi="宋体" w:hint="eastAsia"/>
                <w:color w:val="000000"/>
                <w:szCs w:val="21"/>
              </w:rPr>
              <w:t>/</w:t>
            </w:r>
            <w:r w:rsidRPr="0030479C">
              <w:rPr>
                <w:rFonts w:hAnsi="宋体" w:hint="eastAsia"/>
                <w:color w:val="000000"/>
                <w:szCs w:val="21"/>
              </w:rPr>
              <w:t>法规的执行情况、上次审核不符合项的验证、认证证书、标志的使用情况、投诉或事故、监督抽查情况、体系变动</w:t>
            </w:r>
          </w:p>
        </w:tc>
        <w:tc>
          <w:tcPr>
            <w:tcW w:w="1585" w:type="dxa"/>
            <w:vMerge/>
          </w:tcPr>
          <w:p w:rsidR="00DF525C" w:rsidRPr="0030479C" w:rsidRDefault="00DF525C" w:rsidP="0030479C">
            <w:pPr>
              <w:snapToGrid w:val="0"/>
              <w:spacing w:line="360" w:lineRule="auto"/>
              <w:ind w:firstLineChars="200" w:firstLine="420"/>
              <w:rPr>
                <w:rFonts w:hAnsi="宋体"/>
                <w:color w:val="000000"/>
                <w:szCs w:val="21"/>
              </w:rPr>
            </w:pP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color w:val="000000"/>
                <w:szCs w:val="21"/>
              </w:rPr>
              <w:t>企业基本信息</w:t>
            </w:r>
          </w:p>
        </w:tc>
        <w:tc>
          <w:tcPr>
            <w:tcW w:w="1276" w:type="dxa"/>
          </w:tcPr>
          <w:p w:rsidR="00B13096" w:rsidRPr="0030479C" w:rsidRDefault="00B13096" w:rsidP="0030479C">
            <w:pPr>
              <w:snapToGrid w:val="0"/>
              <w:spacing w:line="360" w:lineRule="auto"/>
              <w:ind w:firstLineChars="200" w:firstLine="420"/>
              <w:rPr>
                <w:rFonts w:hAnsi="宋体"/>
                <w:color w:val="000000"/>
                <w:szCs w:val="21"/>
              </w:rPr>
            </w:pPr>
          </w:p>
        </w:tc>
        <w:tc>
          <w:tcPr>
            <w:tcW w:w="10606" w:type="dxa"/>
          </w:tcPr>
          <w:p w:rsidR="00B13096" w:rsidRPr="0030479C" w:rsidRDefault="00B96B0C" w:rsidP="0030479C">
            <w:pPr>
              <w:snapToGrid w:val="0"/>
              <w:spacing w:line="360" w:lineRule="auto"/>
              <w:ind w:firstLineChars="200" w:firstLine="420"/>
              <w:rPr>
                <w:rFonts w:hAnsi="宋体"/>
                <w:color w:val="000000"/>
                <w:szCs w:val="21"/>
              </w:rPr>
            </w:pPr>
            <w:r w:rsidRPr="0030479C">
              <w:rPr>
                <w:rFonts w:hAnsi="宋体" w:hint="eastAsia"/>
                <w:color w:val="000000"/>
                <w:szCs w:val="21"/>
              </w:rPr>
              <w:t>与</w:t>
            </w:r>
            <w:r w:rsidRPr="0030479C">
              <w:rPr>
                <w:rFonts w:hAnsi="宋体"/>
                <w:color w:val="000000"/>
                <w:szCs w:val="21"/>
              </w:rPr>
              <w:t>管</w:t>
            </w:r>
            <w:r w:rsidRPr="0030479C">
              <w:rPr>
                <w:rFonts w:hAnsi="宋体" w:hint="eastAsia"/>
                <w:color w:val="000000"/>
                <w:szCs w:val="21"/>
              </w:rPr>
              <w:t>代</w:t>
            </w:r>
            <w:r w:rsidR="00B13096" w:rsidRPr="0030479C">
              <w:rPr>
                <w:rFonts w:hAnsi="宋体" w:hint="eastAsia"/>
                <w:color w:val="000000"/>
                <w:szCs w:val="21"/>
              </w:rPr>
              <w:t>徐长武</w:t>
            </w:r>
            <w:r w:rsidRPr="0030479C">
              <w:rPr>
                <w:rFonts w:hAnsi="宋体" w:hint="eastAsia"/>
                <w:color w:val="000000"/>
                <w:szCs w:val="21"/>
              </w:rPr>
              <w:t>面谈了解到：</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color w:val="000000"/>
                <w:szCs w:val="21"/>
              </w:rPr>
              <w:t>公司成立于</w:t>
            </w:r>
            <w:r w:rsidRPr="0030479C">
              <w:rPr>
                <w:rFonts w:hAnsi="宋体"/>
                <w:color w:val="000000"/>
                <w:szCs w:val="21"/>
              </w:rPr>
              <w:t>20</w:t>
            </w:r>
            <w:r w:rsidRPr="0030479C">
              <w:rPr>
                <w:rFonts w:hAnsi="宋体" w:hint="eastAsia"/>
                <w:color w:val="000000"/>
                <w:szCs w:val="21"/>
              </w:rPr>
              <w:t>06</w:t>
            </w:r>
            <w:r w:rsidRPr="0030479C">
              <w:rPr>
                <w:rFonts w:hAnsi="宋体"/>
                <w:color w:val="000000"/>
                <w:szCs w:val="21"/>
              </w:rPr>
              <w:t>年</w:t>
            </w:r>
            <w:r w:rsidRPr="0030479C">
              <w:rPr>
                <w:rFonts w:hAnsi="宋体" w:hint="eastAsia"/>
                <w:color w:val="000000"/>
                <w:szCs w:val="21"/>
              </w:rPr>
              <w:t>2</w:t>
            </w:r>
            <w:r w:rsidRPr="0030479C">
              <w:rPr>
                <w:rFonts w:hAnsi="宋体"/>
                <w:color w:val="000000"/>
                <w:szCs w:val="21"/>
              </w:rPr>
              <w:t>月</w:t>
            </w:r>
            <w:r w:rsidRPr="0030479C">
              <w:rPr>
                <w:rFonts w:hAnsi="宋体" w:hint="eastAsia"/>
                <w:color w:val="000000"/>
                <w:szCs w:val="21"/>
              </w:rPr>
              <w:t>15</w:t>
            </w:r>
            <w:r w:rsidRPr="0030479C">
              <w:rPr>
                <w:rFonts w:hAnsi="宋体"/>
                <w:color w:val="000000"/>
                <w:szCs w:val="21"/>
              </w:rPr>
              <w:t>日，法人代表</w:t>
            </w:r>
            <w:r w:rsidRPr="0030479C">
              <w:rPr>
                <w:rFonts w:hAnsi="宋体" w:hint="eastAsia"/>
                <w:color w:val="000000"/>
                <w:szCs w:val="21"/>
              </w:rPr>
              <w:t>郭春生</w:t>
            </w:r>
            <w:r w:rsidRPr="0030479C">
              <w:rPr>
                <w:rFonts w:hAnsi="宋体"/>
                <w:color w:val="000000"/>
                <w:szCs w:val="21"/>
              </w:rPr>
              <w:t>，注册地址为：</w:t>
            </w:r>
            <w:r w:rsidRPr="0030479C">
              <w:rPr>
                <w:rFonts w:hAnsi="宋体" w:hint="eastAsia"/>
                <w:color w:val="000000"/>
                <w:szCs w:val="21"/>
              </w:rPr>
              <w:t>江西省南昌市南昌县蒋巷镇山尾村</w:t>
            </w:r>
            <w:r w:rsidRPr="0030479C">
              <w:rPr>
                <w:rFonts w:hAnsi="宋体"/>
                <w:color w:val="000000"/>
                <w:szCs w:val="21"/>
              </w:rPr>
              <w:t>。</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color w:val="000000"/>
                <w:szCs w:val="21"/>
              </w:rPr>
              <w:t>生产地址，江西省南昌县蒋巷镇蒋辉西路</w:t>
            </w:r>
            <w:r w:rsidRPr="0030479C">
              <w:rPr>
                <w:rFonts w:hAnsi="宋体"/>
                <w:color w:val="000000"/>
                <w:szCs w:val="21"/>
              </w:rPr>
              <w:t>6</w:t>
            </w:r>
            <w:r w:rsidRPr="0030479C">
              <w:rPr>
                <w:rFonts w:hAnsi="宋体"/>
                <w:color w:val="000000"/>
                <w:szCs w:val="21"/>
              </w:rPr>
              <w:t>号；经营地址：</w:t>
            </w:r>
            <w:r w:rsidR="00141323" w:rsidRPr="0030479C">
              <w:rPr>
                <w:rFonts w:hAnsi="宋体" w:hint="eastAsia"/>
                <w:color w:val="000000"/>
                <w:szCs w:val="21"/>
              </w:rPr>
              <w:t>江西省南昌市红谷滩新区世贸路</w:t>
            </w:r>
            <w:r w:rsidR="00141323" w:rsidRPr="0030479C">
              <w:rPr>
                <w:rFonts w:hAnsi="宋体" w:hint="eastAsia"/>
                <w:color w:val="000000"/>
                <w:szCs w:val="21"/>
              </w:rPr>
              <w:t xml:space="preserve"> 942 </w:t>
            </w:r>
            <w:r w:rsidR="00141323" w:rsidRPr="0030479C">
              <w:rPr>
                <w:rFonts w:hAnsi="宋体" w:hint="eastAsia"/>
                <w:color w:val="000000"/>
                <w:szCs w:val="21"/>
              </w:rPr>
              <w:t>号远帆大厦</w:t>
            </w:r>
            <w:r w:rsidR="00141323" w:rsidRPr="0030479C">
              <w:rPr>
                <w:rFonts w:hAnsi="宋体" w:hint="eastAsia"/>
                <w:color w:val="000000"/>
                <w:szCs w:val="21"/>
              </w:rPr>
              <w:t xml:space="preserve"> A </w:t>
            </w:r>
            <w:r w:rsidR="00141323" w:rsidRPr="0030479C">
              <w:rPr>
                <w:rFonts w:hAnsi="宋体" w:hint="eastAsia"/>
                <w:color w:val="000000"/>
                <w:szCs w:val="21"/>
              </w:rPr>
              <w:t>座</w:t>
            </w:r>
            <w:r w:rsidR="00141323" w:rsidRPr="0030479C">
              <w:rPr>
                <w:rFonts w:hAnsi="宋体" w:hint="eastAsia"/>
                <w:color w:val="000000"/>
                <w:szCs w:val="21"/>
              </w:rPr>
              <w:t xml:space="preserve"> 11 </w:t>
            </w:r>
            <w:r w:rsidR="00141323" w:rsidRPr="0030479C">
              <w:rPr>
                <w:rFonts w:hAnsi="宋体" w:hint="eastAsia"/>
                <w:color w:val="000000"/>
                <w:szCs w:val="21"/>
              </w:rPr>
              <w:t>层</w:t>
            </w:r>
            <w:r w:rsidR="00141323" w:rsidRPr="0030479C">
              <w:rPr>
                <w:rFonts w:hAnsi="宋体" w:hint="eastAsia"/>
                <w:color w:val="000000"/>
                <w:szCs w:val="21"/>
              </w:rPr>
              <w:t xml:space="preserve"> 1101-1106 </w:t>
            </w:r>
            <w:r w:rsidR="00141323" w:rsidRPr="0030479C">
              <w:rPr>
                <w:rFonts w:hAnsi="宋体" w:hint="eastAsia"/>
                <w:color w:val="000000"/>
                <w:szCs w:val="21"/>
              </w:rPr>
              <w:t>号房</w:t>
            </w:r>
          </w:p>
          <w:p w:rsidR="001A6604" w:rsidRPr="001A6604" w:rsidRDefault="00B13096" w:rsidP="001A6604">
            <w:pPr>
              <w:snapToGrid w:val="0"/>
              <w:spacing w:line="360" w:lineRule="auto"/>
              <w:ind w:firstLineChars="200" w:firstLine="420"/>
              <w:rPr>
                <w:rFonts w:hAnsi="宋体"/>
                <w:color w:val="000000"/>
                <w:szCs w:val="21"/>
              </w:rPr>
            </w:pPr>
            <w:r w:rsidRPr="0030479C">
              <w:rPr>
                <w:rFonts w:hAnsi="宋体" w:hint="eastAsia"/>
                <w:color w:val="000000"/>
                <w:szCs w:val="21"/>
              </w:rPr>
              <w:t>经营范围：</w:t>
            </w:r>
            <w:r w:rsidR="001A6604" w:rsidRPr="001A6604">
              <w:rPr>
                <w:rFonts w:hAnsi="宋体" w:hint="eastAsia"/>
                <w:color w:val="000000"/>
                <w:szCs w:val="21"/>
              </w:rPr>
              <w:t>家具制造、销售；室内外装饰工程（凭资质经营）；国内贸易。（上述项目国家有专项规定除外）</w:t>
            </w:r>
          </w:p>
          <w:p w:rsidR="00B13096" w:rsidRPr="0030479C" w:rsidRDefault="001A6604" w:rsidP="001A6604">
            <w:pPr>
              <w:snapToGrid w:val="0"/>
              <w:spacing w:line="360" w:lineRule="auto"/>
              <w:ind w:firstLineChars="200" w:firstLine="420"/>
              <w:rPr>
                <w:rFonts w:hAnsi="宋体"/>
                <w:color w:val="000000"/>
                <w:szCs w:val="21"/>
              </w:rPr>
            </w:pPr>
            <w:r w:rsidRPr="001A6604">
              <w:rPr>
                <w:rFonts w:hAnsi="宋体"/>
                <w:color w:val="000000"/>
                <w:szCs w:val="21"/>
              </w:rPr>
              <w:t>经营范围包括了认证范围内产品。</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t>符合</w:t>
            </w: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理解组织及其环境</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QEO:4.1</w:t>
            </w:r>
          </w:p>
        </w:tc>
        <w:tc>
          <w:tcPr>
            <w:tcW w:w="10606" w:type="dxa"/>
          </w:tcPr>
          <w:p w:rsidR="00D65929" w:rsidRPr="0030479C" w:rsidRDefault="00D65929" w:rsidP="0030479C">
            <w:pPr>
              <w:snapToGrid w:val="0"/>
              <w:spacing w:line="360" w:lineRule="auto"/>
              <w:ind w:firstLineChars="200" w:firstLine="420"/>
              <w:rPr>
                <w:rFonts w:hAnsi="宋体"/>
                <w:color w:val="000000"/>
                <w:szCs w:val="21"/>
              </w:rPr>
            </w:pPr>
            <w:r w:rsidRPr="0030479C">
              <w:rPr>
                <w:rFonts w:hAnsi="宋体" w:hint="eastAsia"/>
                <w:color w:val="000000"/>
                <w:szCs w:val="21"/>
              </w:rPr>
              <w:t>最高管理者</w:t>
            </w:r>
            <w:r w:rsidRPr="0030479C">
              <w:rPr>
                <w:rFonts w:hAnsi="宋体"/>
                <w:color w:val="000000"/>
                <w:szCs w:val="21"/>
              </w:rPr>
              <w:t>郭春生</w:t>
            </w:r>
            <w:r w:rsidRPr="0030479C">
              <w:rPr>
                <w:rFonts w:hAnsi="宋体" w:hint="eastAsia"/>
                <w:color w:val="000000"/>
                <w:szCs w:val="21"/>
              </w:rPr>
              <w:t>、管代徐长武、职业健康安全事务代表邓海浪</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color w:val="000000"/>
                <w:szCs w:val="21"/>
              </w:rPr>
              <w:t>提供《管理手册</w:t>
            </w:r>
            <w:r w:rsidR="00CD6E21" w:rsidRPr="0030479C">
              <w:rPr>
                <w:rFonts w:hAnsi="宋体" w:hint="eastAsia"/>
                <w:color w:val="000000"/>
                <w:szCs w:val="21"/>
              </w:rPr>
              <w:t>BSJJ</w:t>
            </w:r>
            <w:r w:rsidR="00CD6E21" w:rsidRPr="0030479C">
              <w:rPr>
                <w:rFonts w:hAnsi="宋体"/>
                <w:color w:val="000000"/>
                <w:szCs w:val="21"/>
              </w:rPr>
              <w:t>-</w:t>
            </w:r>
            <w:r w:rsidR="00CD6E21" w:rsidRPr="0030479C">
              <w:rPr>
                <w:rFonts w:hAnsi="宋体" w:hint="eastAsia"/>
                <w:color w:val="000000"/>
                <w:szCs w:val="21"/>
              </w:rPr>
              <w:t>SC</w:t>
            </w:r>
            <w:r w:rsidR="00CD6E21" w:rsidRPr="0030479C">
              <w:rPr>
                <w:rFonts w:hAnsi="宋体"/>
                <w:color w:val="000000"/>
                <w:szCs w:val="21"/>
              </w:rPr>
              <w:t>-20</w:t>
            </w:r>
            <w:r w:rsidR="00CD6E21" w:rsidRPr="0030479C">
              <w:rPr>
                <w:rFonts w:hAnsi="宋体" w:hint="eastAsia"/>
                <w:color w:val="000000"/>
                <w:szCs w:val="21"/>
              </w:rPr>
              <w:t>21</w:t>
            </w:r>
            <w:r w:rsidRPr="0030479C">
              <w:rPr>
                <w:rFonts w:hAnsi="宋体"/>
                <w:color w:val="000000"/>
                <w:szCs w:val="21"/>
              </w:rPr>
              <w:t>》，对公司地理位置、国内市场地位、法律法规要求、公司内部文化观价值观、内外部环境变化等均作出描述。</w:t>
            </w:r>
          </w:p>
          <w:p w:rsidR="00B13096" w:rsidRPr="0030479C" w:rsidRDefault="006A2B09" w:rsidP="0030479C">
            <w:pPr>
              <w:snapToGrid w:val="0"/>
              <w:spacing w:line="360" w:lineRule="auto"/>
              <w:ind w:firstLineChars="200" w:firstLine="420"/>
              <w:rPr>
                <w:rFonts w:hAnsi="宋体"/>
                <w:color w:val="000000"/>
                <w:szCs w:val="21"/>
              </w:rPr>
            </w:pPr>
            <w:r>
              <w:rPr>
                <w:rFonts w:hAnsi="宋体" w:hint="eastAsia"/>
                <w:color w:val="000000"/>
                <w:szCs w:val="21"/>
              </w:rPr>
              <w:t>同</w:t>
            </w:r>
            <w:r>
              <w:rPr>
                <w:rFonts w:hAnsi="宋体"/>
                <w:color w:val="000000"/>
                <w:szCs w:val="21"/>
              </w:rPr>
              <w:t>管代徐长武</w:t>
            </w:r>
            <w:r w:rsidR="000E539B">
              <w:rPr>
                <w:rFonts w:hAnsi="宋体"/>
                <w:color w:val="000000"/>
                <w:szCs w:val="21"/>
              </w:rPr>
              <w:t>沟通，</w:t>
            </w:r>
            <w:r w:rsidR="00B13096" w:rsidRPr="0030479C">
              <w:rPr>
                <w:rFonts w:hAnsi="宋体"/>
                <w:color w:val="000000"/>
                <w:szCs w:val="21"/>
              </w:rPr>
              <w:t>介绍了公司发展历程、公司文化、长短期发展目标、价值观的沟通，并对如何创造公司良好的内部环境提出要求，对公司目前所处的外部环境也做了简单分析。公司介绍，销售的产品在国内居于领先地位，在行业内占据一定市场地位。</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lastRenderedPageBreak/>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外部因素——国家政策变化、政府投资力度、客户需求的变化等；</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内部因素有</w:t>
            </w:r>
            <w:r w:rsidRPr="0030479C">
              <w:rPr>
                <w:rFonts w:hAnsi="宋体" w:hint="eastAsia"/>
                <w:color w:val="000000"/>
                <w:szCs w:val="21"/>
              </w:rPr>
              <w:t>-</w:t>
            </w:r>
            <w:r w:rsidRPr="0030479C">
              <w:rPr>
                <w:rFonts w:hAnsi="宋体" w:hint="eastAsia"/>
                <w:color w:val="000000"/>
                <w:szCs w:val="21"/>
              </w:rPr>
              <w:t>公司文化、内部管理机制的建立、人员稳定性、员工技术能力等；</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这些因素包括了需要考虑的正面和负面因素或条件。</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理解相关方的需求和期望</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 :4.2</w:t>
            </w:r>
          </w:p>
        </w:tc>
        <w:tc>
          <w:tcPr>
            <w:tcW w:w="10606" w:type="dxa"/>
          </w:tcPr>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提供了“相关方期望或要求识别表”，公司内外部相关方包括：顾客</w:t>
            </w:r>
            <w:r w:rsidRPr="0030479C">
              <w:rPr>
                <w:rFonts w:hAnsi="宋体" w:hint="eastAsia"/>
                <w:color w:val="000000"/>
                <w:szCs w:val="21"/>
              </w:rPr>
              <w:t>/</w:t>
            </w:r>
            <w:r w:rsidRPr="0030479C">
              <w:rPr>
                <w:rFonts w:hAnsi="宋体" w:hint="eastAsia"/>
                <w:color w:val="000000"/>
                <w:szCs w:val="21"/>
              </w:rPr>
              <w:t>最终消费者、员工、政府、外部供方、竞争对手、社会相邻单位等，</w:t>
            </w:r>
          </w:p>
          <w:p w:rsidR="00B13096" w:rsidRPr="0030479C" w:rsidRDefault="005E36FB" w:rsidP="0030479C">
            <w:pPr>
              <w:snapToGrid w:val="0"/>
              <w:spacing w:line="360" w:lineRule="auto"/>
              <w:ind w:firstLineChars="200" w:firstLine="420"/>
              <w:rPr>
                <w:rFonts w:hAnsi="宋体"/>
                <w:color w:val="000000"/>
                <w:szCs w:val="21"/>
              </w:rPr>
            </w:pPr>
            <w:r w:rsidRPr="0030479C">
              <w:rPr>
                <w:rFonts w:hAnsi="宋体" w:hint="eastAsia"/>
                <w:color w:val="000000"/>
                <w:szCs w:val="21"/>
              </w:rPr>
              <w:t>清单中明确了相关方要求与期望、监测指标及应对措施</w:t>
            </w:r>
            <w:r w:rsidR="00B13096" w:rsidRPr="0030479C">
              <w:rPr>
                <w:rFonts w:hAnsi="宋体" w:hint="eastAsia"/>
                <w:color w:val="000000"/>
                <w:szCs w:val="21"/>
              </w:rPr>
              <w:t>等。</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基本符合。</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t>符合</w:t>
            </w:r>
          </w:p>
        </w:tc>
      </w:tr>
      <w:tr w:rsidR="00B13096" w:rsidRPr="0030479C" w:rsidTr="008F5A57">
        <w:trPr>
          <w:trHeight w:val="830"/>
        </w:trPr>
        <w:tc>
          <w:tcPr>
            <w:tcW w:w="1242" w:type="dxa"/>
            <w:vAlign w:val="center"/>
          </w:tcPr>
          <w:p w:rsidR="003C649C" w:rsidRDefault="003326DA" w:rsidP="003C649C">
            <w:pPr>
              <w:snapToGrid w:val="0"/>
              <w:spacing w:line="360" w:lineRule="auto"/>
              <w:rPr>
                <w:rFonts w:hAnsi="宋体"/>
                <w:color w:val="000000"/>
                <w:szCs w:val="21"/>
              </w:rPr>
            </w:pPr>
            <w:r w:rsidRPr="0030479C">
              <w:rPr>
                <w:rFonts w:hAnsi="宋体" w:hint="eastAsia"/>
                <w:color w:val="000000"/>
                <w:szCs w:val="21"/>
              </w:rPr>
              <w:t>应对风险和机遇的措施</w:t>
            </w:r>
          </w:p>
          <w:p w:rsidR="003326DA" w:rsidRPr="0030479C" w:rsidRDefault="003326DA" w:rsidP="003C649C">
            <w:pPr>
              <w:snapToGrid w:val="0"/>
              <w:spacing w:line="360" w:lineRule="auto"/>
              <w:rPr>
                <w:rFonts w:hAnsi="宋体"/>
                <w:color w:val="000000"/>
                <w:szCs w:val="21"/>
              </w:rPr>
            </w:pPr>
            <w:r w:rsidRPr="0030479C">
              <w:rPr>
                <w:rFonts w:hAnsi="宋体" w:hint="eastAsia"/>
                <w:color w:val="000000"/>
                <w:szCs w:val="21"/>
              </w:rPr>
              <w:t>确定管理体系的范围</w:t>
            </w:r>
          </w:p>
          <w:p w:rsidR="003326DA" w:rsidRDefault="003326DA"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环境管理体系</w:t>
            </w:r>
            <w:r w:rsidRPr="0030479C">
              <w:rPr>
                <w:rFonts w:hAnsi="宋体" w:hint="eastAsia"/>
                <w:color w:val="000000"/>
                <w:szCs w:val="21"/>
              </w:rPr>
              <w:lastRenderedPageBreak/>
              <w:t>及其过程</w:t>
            </w:r>
          </w:p>
          <w:p w:rsidR="003C649C" w:rsidRPr="0030479C" w:rsidRDefault="003C649C" w:rsidP="003C649C">
            <w:pPr>
              <w:snapToGrid w:val="0"/>
              <w:spacing w:line="360" w:lineRule="auto"/>
              <w:rPr>
                <w:rFonts w:hAnsi="宋体"/>
                <w:color w:val="000000"/>
                <w:szCs w:val="21"/>
              </w:rPr>
            </w:pPr>
            <w:r w:rsidRPr="0030479C">
              <w:rPr>
                <w:rFonts w:hAnsi="宋体" w:hint="eastAsia"/>
                <w:color w:val="000000"/>
                <w:szCs w:val="21"/>
              </w:rPr>
              <w:t>变更的策划</w:t>
            </w:r>
          </w:p>
          <w:p w:rsidR="00B13096" w:rsidRPr="0030479C" w:rsidRDefault="00B13096" w:rsidP="0030479C">
            <w:pPr>
              <w:snapToGrid w:val="0"/>
              <w:spacing w:line="360" w:lineRule="auto"/>
              <w:ind w:firstLineChars="200" w:firstLine="420"/>
              <w:rPr>
                <w:rFonts w:hAnsi="宋体"/>
                <w:color w:val="000000"/>
                <w:szCs w:val="21"/>
              </w:rPr>
            </w:pP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QEO :4.3</w:t>
            </w:r>
          </w:p>
          <w:p w:rsidR="003326DA" w:rsidRPr="0030479C" w:rsidRDefault="003326DA" w:rsidP="003C649C">
            <w:pPr>
              <w:snapToGrid w:val="0"/>
              <w:spacing w:line="360" w:lineRule="auto"/>
              <w:rPr>
                <w:rFonts w:hAnsi="宋体"/>
                <w:color w:val="000000"/>
                <w:szCs w:val="21"/>
              </w:rPr>
            </w:pPr>
            <w:r w:rsidRPr="0030479C">
              <w:rPr>
                <w:rFonts w:hAnsi="宋体" w:hint="eastAsia"/>
                <w:color w:val="000000"/>
                <w:szCs w:val="21"/>
              </w:rPr>
              <w:t>QEO :4.4</w:t>
            </w:r>
          </w:p>
          <w:p w:rsidR="003326DA" w:rsidRPr="0030479C" w:rsidRDefault="003326DA" w:rsidP="003C649C">
            <w:pPr>
              <w:snapToGrid w:val="0"/>
              <w:spacing w:line="360" w:lineRule="auto"/>
              <w:rPr>
                <w:rFonts w:hAnsi="宋体"/>
                <w:color w:val="000000"/>
                <w:szCs w:val="21"/>
              </w:rPr>
            </w:pPr>
            <w:r w:rsidRPr="0030479C">
              <w:rPr>
                <w:rFonts w:hAnsi="宋体" w:hint="eastAsia"/>
                <w:color w:val="000000"/>
                <w:szCs w:val="21"/>
              </w:rPr>
              <w:t>QEO :6.1</w:t>
            </w:r>
          </w:p>
          <w:p w:rsidR="003326DA" w:rsidRPr="0030479C" w:rsidRDefault="003326DA" w:rsidP="003C649C">
            <w:pPr>
              <w:snapToGrid w:val="0"/>
              <w:spacing w:line="360" w:lineRule="auto"/>
              <w:rPr>
                <w:rFonts w:hAnsi="宋体"/>
                <w:color w:val="000000"/>
                <w:szCs w:val="21"/>
              </w:rPr>
            </w:pPr>
            <w:r w:rsidRPr="0030479C">
              <w:rPr>
                <w:rFonts w:hAnsi="宋体" w:hint="eastAsia"/>
                <w:color w:val="000000"/>
                <w:szCs w:val="21"/>
              </w:rPr>
              <w:t>Q:6.3</w:t>
            </w:r>
          </w:p>
          <w:p w:rsidR="003326DA" w:rsidRPr="0030479C" w:rsidRDefault="003326DA" w:rsidP="0030479C">
            <w:pPr>
              <w:snapToGrid w:val="0"/>
              <w:spacing w:line="360" w:lineRule="auto"/>
              <w:ind w:firstLineChars="200" w:firstLine="420"/>
              <w:rPr>
                <w:rFonts w:hAnsi="宋体"/>
                <w:color w:val="000000"/>
                <w:szCs w:val="21"/>
              </w:rPr>
            </w:pPr>
          </w:p>
          <w:p w:rsidR="003326DA" w:rsidRPr="0030479C" w:rsidRDefault="003326DA" w:rsidP="0030479C">
            <w:pPr>
              <w:snapToGrid w:val="0"/>
              <w:spacing w:line="360" w:lineRule="auto"/>
              <w:ind w:firstLineChars="200" w:firstLine="420"/>
              <w:rPr>
                <w:rFonts w:hAnsi="宋体"/>
                <w:color w:val="000000"/>
                <w:szCs w:val="21"/>
              </w:rPr>
            </w:pPr>
          </w:p>
          <w:p w:rsidR="003326DA" w:rsidRPr="0030479C" w:rsidRDefault="003326DA" w:rsidP="0030479C">
            <w:pPr>
              <w:snapToGrid w:val="0"/>
              <w:spacing w:line="360" w:lineRule="auto"/>
              <w:ind w:firstLineChars="200" w:firstLine="420"/>
              <w:rPr>
                <w:rFonts w:hAnsi="宋体"/>
                <w:color w:val="000000"/>
                <w:szCs w:val="21"/>
              </w:rPr>
            </w:pPr>
          </w:p>
        </w:tc>
        <w:tc>
          <w:tcPr>
            <w:tcW w:w="10606" w:type="dxa"/>
          </w:tcPr>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管理手册中确定的认证范围：</w:t>
            </w:r>
          </w:p>
          <w:p w:rsidR="004A6847" w:rsidRPr="0030479C" w:rsidRDefault="004A6847" w:rsidP="0030479C">
            <w:pPr>
              <w:snapToGrid w:val="0"/>
              <w:spacing w:line="360" w:lineRule="auto"/>
              <w:ind w:firstLineChars="200" w:firstLine="420"/>
              <w:rPr>
                <w:rFonts w:hAnsi="宋体"/>
                <w:color w:val="000000"/>
                <w:szCs w:val="21"/>
              </w:rPr>
            </w:pPr>
            <w:r w:rsidRPr="0030479C">
              <w:rPr>
                <w:rFonts w:hAnsi="宋体" w:hint="eastAsia"/>
                <w:color w:val="000000"/>
                <w:szCs w:val="21"/>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条桌、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棋牌桌、圆几、书柜、资料柜、荣誉柜、储物柜、活动柜、备餐柜、展示柜、密码柜、地柜、壁柜、保</w:t>
            </w:r>
            <w:r w:rsidRPr="0030479C">
              <w:rPr>
                <w:rFonts w:hAnsi="宋体" w:hint="eastAsia"/>
                <w:color w:val="000000"/>
                <w:szCs w:val="21"/>
              </w:rPr>
              <w:lastRenderedPageBreak/>
              <w:t>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w:t>
            </w:r>
            <w:r w:rsidRPr="0030479C">
              <w:rPr>
                <w:rFonts w:hAnsi="宋体" w:hint="eastAsia"/>
                <w:color w:val="000000"/>
                <w:szCs w:val="21"/>
              </w:rPr>
              <w:t xml:space="preserve"> </w:t>
            </w:r>
            <w:r w:rsidRPr="0030479C">
              <w:rPr>
                <w:rFonts w:hAnsi="宋体" w:hint="eastAsia"/>
                <w:color w:val="000000"/>
                <w:szCs w:val="21"/>
              </w:rPr>
              <w:t>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隔断、屏风隔断、法庭屏风、屏风卡座的设计、生产、销售、及售后服务（维保、退换货、投诉处理）及其所涉及的相关管理活动</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lastRenderedPageBreak/>
              <w:t>基于对</w:t>
            </w:r>
            <w:r w:rsidRPr="0030479C">
              <w:rPr>
                <w:rFonts w:hAnsi="宋体" w:hint="eastAsia"/>
                <w:color w:val="000000"/>
                <w:szCs w:val="21"/>
              </w:rPr>
              <w:t>4.1</w:t>
            </w:r>
            <w:r w:rsidRPr="0030479C">
              <w:rPr>
                <w:rFonts w:hAnsi="宋体" w:hint="eastAsia"/>
                <w:color w:val="000000"/>
                <w:szCs w:val="21"/>
              </w:rPr>
              <w:t>和</w:t>
            </w:r>
            <w:r w:rsidRPr="0030479C">
              <w:rPr>
                <w:rFonts w:hAnsi="宋体" w:hint="eastAsia"/>
                <w:color w:val="000000"/>
                <w:szCs w:val="21"/>
              </w:rPr>
              <w:t>4.2</w:t>
            </w:r>
            <w:r w:rsidRPr="0030479C">
              <w:rPr>
                <w:rFonts w:hAnsi="宋体" w:hint="eastAsia"/>
                <w:color w:val="000000"/>
                <w:szCs w:val="21"/>
              </w:rPr>
              <w:t>的考虑，分析了公司存在的风险和机遇：</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存在的机遇：</w:t>
            </w:r>
            <w:r w:rsidRPr="0030479C">
              <w:rPr>
                <w:rFonts w:hAnsi="宋体"/>
                <w:color w:val="000000"/>
                <w:szCs w:val="21"/>
              </w:rPr>
              <w:t>行业市场的规模化，市场需求量很大，目前市场经济对企业有较好的推动作用</w:t>
            </w:r>
            <w:r w:rsidRPr="0030479C">
              <w:rPr>
                <w:rFonts w:hAnsi="宋体" w:hint="eastAsia"/>
                <w:color w:val="000000"/>
                <w:szCs w:val="21"/>
              </w:rPr>
              <w:t>；公司专业经验丰富、技术资源雄厚、企业信誉省内知名，给公司的发展带来了机遇。</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存在的风险：</w:t>
            </w:r>
            <w:r w:rsidRPr="0030479C">
              <w:rPr>
                <w:rFonts w:hAnsi="宋体"/>
                <w:color w:val="000000"/>
                <w:szCs w:val="21"/>
              </w:rPr>
              <w:t>目前国内市场的同类产品有较多的品牌，竞争逐渐加剧</w:t>
            </w:r>
            <w:r w:rsidRPr="0030479C">
              <w:rPr>
                <w:rFonts w:hAnsi="宋体" w:hint="eastAsia"/>
                <w:color w:val="000000"/>
                <w:szCs w:val="21"/>
              </w:rPr>
              <w:t>；</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编制有《风险和机遇的应对控制程序》，对组织内外的风险和机遇进行了策划。</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重要环境因素：固废排放、潜在火灾、废气（粉尘）排放、噪音排放等</w:t>
            </w:r>
            <w:r w:rsidR="00921F71">
              <w:rPr>
                <w:rFonts w:hAnsi="宋体" w:hint="eastAsia"/>
                <w:color w:val="000000"/>
                <w:szCs w:val="21"/>
              </w:rPr>
              <w:t>5</w:t>
            </w:r>
            <w:r w:rsidR="00921F71">
              <w:rPr>
                <w:rFonts w:hAnsi="宋体" w:hint="eastAsia"/>
                <w:color w:val="000000"/>
                <w:szCs w:val="21"/>
              </w:rPr>
              <w:t>项重要环境因素</w:t>
            </w:r>
            <w:r w:rsidRPr="0030479C">
              <w:rPr>
                <w:rFonts w:hAnsi="宋体" w:hint="eastAsia"/>
                <w:color w:val="000000"/>
                <w:szCs w:val="21"/>
              </w:rPr>
              <w:t>。</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控制措施：一般固废集中收集外售；危废由供应商带回以旧换新，由具有资质的单位处理；提高安全意识，做好火灾预防措施、应急预案。</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一旦发生按相关应急预案执行；制定目标、指标和管理方案。</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不可接受风险有：火灾、触电、机械伤害、吸入性伤害（中毒）等；</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控制措施：加强安全防护、劳保用品、设备加防护罩、提高安全意识，做好用电管理、火灾预防措施、应急预案。</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一旦发生按相关应急预案执行；制定目标、指标和管理方案。</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为应对上述的风险和机遇，公司依据</w:t>
            </w:r>
            <w:r w:rsidRPr="0030479C">
              <w:rPr>
                <w:rFonts w:hAnsi="宋体" w:hint="eastAsia"/>
                <w:color w:val="000000"/>
                <w:szCs w:val="21"/>
              </w:rPr>
              <w:t>ISO9001</w:t>
            </w:r>
            <w:r w:rsidRPr="0030479C">
              <w:rPr>
                <w:rFonts w:hAnsi="宋体" w:hint="eastAsia"/>
                <w:color w:val="000000"/>
                <w:szCs w:val="21"/>
              </w:rPr>
              <w:t>：</w:t>
            </w:r>
            <w:r w:rsidRPr="0030479C">
              <w:rPr>
                <w:rFonts w:hAnsi="宋体" w:hint="eastAsia"/>
                <w:color w:val="000000"/>
                <w:szCs w:val="21"/>
              </w:rPr>
              <w:t>2015</w:t>
            </w:r>
            <w:r w:rsidRPr="0030479C">
              <w:rPr>
                <w:rFonts w:hAnsi="宋体" w:hint="eastAsia"/>
                <w:color w:val="000000"/>
                <w:szCs w:val="21"/>
              </w:rPr>
              <w:t>、</w:t>
            </w:r>
            <w:r w:rsidRPr="0030479C">
              <w:rPr>
                <w:rFonts w:hAnsi="宋体" w:hint="eastAsia"/>
                <w:color w:val="000000"/>
                <w:szCs w:val="21"/>
              </w:rPr>
              <w:t>ISO14001</w:t>
            </w:r>
            <w:r w:rsidRPr="0030479C">
              <w:rPr>
                <w:rFonts w:hAnsi="宋体" w:hint="eastAsia"/>
                <w:color w:val="000000"/>
                <w:szCs w:val="21"/>
              </w:rPr>
              <w:t>：</w:t>
            </w:r>
            <w:r w:rsidRPr="0030479C">
              <w:rPr>
                <w:rFonts w:hAnsi="宋体" w:hint="eastAsia"/>
                <w:color w:val="000000"/>
                <w:szCs w:val="21"/>
              </w:rPr>
              <w:t>2015</w:t>
            </w:r>
            <w:r w:rsidRPr="0030479C">
              <w:rPr>
                <w:rFonts w:hAnsi="宋体" w:hint="eastAsia"/>
                <w:color w:val="000000"/>
                <w:szCs w:val="21"/>
              </w:rPr>
              <w:t>、</w:t>
            </w:r>
            <w:r w:rsidRPr="0030479C">
              <w:rPr>
                <w:rFonts w:hAnsi="宋体" w:hint="eastAsia"/>
                <w:color w:val="000000"/>
                <w:szCs w:val="21"/>
              </w:rPr>
              <w:t>ISO45001</w:t>
            </w:r>
            <w:r w:rsidRPr="0030479C">
              <w:rPr>
                <w:rFonts w:hAnsi="宋体" w:hint="eastAsia"/>
                <w:color w:val="000000"/>
                <w:szCs w:val="21"/>
              </w:rPr>
              <w:t>：</w:t>
            </w:r>
            <w:r w:rsidRPr="0030479C">
              <w:rPr>
                <w:rFonts w:hAnsi="宋体" w:hint="eastAsia"/>
                <w:color w:val="000000"/>
                <w:szCs w:val="21"/>
              </w:rPr>
              <w:t>2018</w:t>
            </w:r>
            <w:r w:rsidRPr="0030479C">
              <w:rPr>
                <w:rFonts w:hAnsi="宋体" w:hint="eastAsia"/>
                <w:color w:val="000000"/>
                <w:szCs w:val="21"/>
              </w:rPr>
              <w:t>标准的要求并结合本公司的具体情况，采取</w:t>
            </w:r>
            <w:r w:rsidRPr="0030479C">
              <w:rPr>
                <w:rFonts w:hAnsi="宋体" w:hint="eastAsia"/>
                <w:color w:val="000000"/>
                <w:szCs w:val="21"/>
              </w:rPr>
              <w:t>PDCA</w:t>
            </w:r>
            <w:r w:rsidRPr="0030479C">
              <w:rPr>
                <w:rFonts w:hAnsi="宋体" w:hint="eastAsia"/>
                <w:color w:val="000000"/>
                <w:szCs w:val="21"/>
              </w:rPr>
              <w:t>的过程方法，建立、实施、保持并持续改进质量、环境、职业健康安全管理体系。</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保持《管理手册》</w:t>
            </w:r>
            <w:r w:rsidRPr="0030479C">
              <w:rPr>
                <w:rFonts w:hAnsi="宋体" w:hint="eastAsia"/>
                <w:color w:val="000000"/>
                <w:szCs w:val="21"/>
              </w:rPr>
              <w:t>A/2</w:t>
            </w:r>
            <w:r w:rsidRPr="0030479C">
              <w:rPr>
                <w:rFonts w:hAnsi="宋体" w:hint="eastAsia"/>
                <w:color w:val="000000"/>
                <w:szCs w:val="21"/>
              </w:rPr>
              <w:t>版，于</w:t>
            </w:r>
            <w:r w:rsidRPr="0030479C">
              <w:rPr>
                <w:rFonts w:hAnsi="宋体" w:hint="eastAsia"/>
                <w:color w:val="000000"/>
                <w:szCs w:val="21"/>
              </w:rPr>
              <w:t>2021</w:t>
            </w:r>
            <w:r w:rsidRPr="0030479C">
              <w:rPr>
                <w:rFonts w:hAnsi="宋体" w:hint="eastAsia"/>
                <w:color w:val="000000"/>
                <w:szCs w:val="21"/>
              </w:rPr>
              <w:t>年</w:t>
            </w:r>
            <w:r w:rsidRPr="0030479C">
              <w:rPr>
                <w:rFonts w:hAnsi="宋体" w:hint="eastAsia"/>
                <w:color w:val="000000"/>
                <w:szCs w:val="21"/>
              </w:rPr>
              <w:t>12</w:t>
            </w:r>
            <w:r w:rsidRPr="0030479C">
              <w:rPr>
                <w:rFonts w:hAnsi="宋体" w:hint="eastAsia"/>
                <w:color w:val="000000"/>
                <w:szCs w:val="21"/>
              </w:rPr>
              <w:t>月</w:t>
            </w:r>
            <w:r w:rsidRPr="0030479C">
              <w:rPr>
                <w:rFonts w:hAnsi="宋体" w:hint="eastAsia"/>
                <w:color w:val="000000"/>
                <w:szCs w:val="21"/>
              </w:rPr>
              <w:t>10</w:t>
            </w:r>
            <w:r w:rsidRPr="0030479C">
              <w:rPr>
                <w:rFonts w:hAnsi="宋体" w:hint="eastAsia"/>
                <w:color w:val="000000"/>
                <w:szCs w:val="21"/>
              </w:rPr>
              <w:t>日实施；</w:t>
            </w:r>
          </w:p>
          <w:p w:rsidR="003326DA" w:rsidRPr="0030479C" w:rsidRDefault="003326DA" w:rsidP="0030479C">
            <w:pPr>
              <w:snapToGrid w:val="0"/>
              <w:spacing w:line="360" w:lineRule="auto"/>
              <w:ind w:firstLineChars="200" w:firstLine="420"/>
              <w:rPr>
                <w:rFonts w:hAnsi="宋体"/>
                <w:color w:val="000000"/>
                <w:szCs w:val="21"/>
              </w:rPr>
            </w:pPr>
            <w:r w:rsidRPr="00B44145">
              <w:rPr>
                <w:rFonts w:hAnsi="宋体" w:hint="eastAsia"/>
                <w:color w:val="000000" w:themeColor="text1"/>
                <w:szCs w:val="21"/>
              </w:rPr>
              <w:t>保持程序文件</w:t>
            </w:r>
            <w:r w:rsidR="00A14052">
              <w:rPr>
                <w:rFonts w:hAnsi="宋体" w:hint="eastAsia"/>
                <w:color w:val="000000" w:themeColor="text1"/>
                <w:szCs w:val="21"/>
              </w:rPr>
              <w:t>28</w:t>
            </w:r>
            <w:r w:rsidRPr="00B44145">
              <w:rPr>
                <w:rFonts w:hAnsi="宋体" w:hint="eastAsia"/>
                <w:color w:val="000000" w:themeColor="text1"/>
                <w:szCs w:val="21"/>
              </w:rPr>
              <w:t>个，版本号：</w:t>
            </w:r>
            <w:r w:rsidR="00A14052">
              <w:rPr>
                <w:rFonts w:hAnsi="宋体" w:hint="eastAsia"/>
                <w:color w:val="000000" w:themeColor="text1"/>
                <w:szCs w:val="21"/>
              </w:rPr>
              <w:t>A/2</w:t>
            </w:r>
            <w:r w:rsidRPr="00B44145">
              <w:rPr>
                <w:rFonts w:hAnsi="宋体" w:hint="eastAsia"/>
                <w:color w:val="000000" w:themeColor="text1"/>
                <w:szCs w:val="21"/>
              </w:rPr>
              <w:t>；</w:t>
            </w:r>
            <w:r w:rsidRPr="0030479C">
              <w:rPr>
                <w:rFonts w:hAnsi="宋体" w:hint="eastAsia"/>
                <w:color w:val="000000"/>
                <w:szCs w:val="21"/>
              </w:rPr>
              <w:t>管理评审控制程序、废弃物控制程序、噪声控制程序、消防控制程序、顾客满意度控制程序、采购控制程序、</w:t>
            </w:r>
            <w:r w:rsidR="00A14052">
              <w:rPr>
                <w:rFonts w:ascii="宋体" w:hAnsi="宋体" w:cs="仿宋_GB2312" w:hint="eastAsia"/>
                <w:kern w:val="0"/>
              </w:rPr>
              <w:t>管理变更控制程序、</w:t>
            </w:r>
            <w:r w:rsidRPr="0030479C">
              <w:rPr>
                <w:rFonts w:hAnsi="宋体" w:hint="eastAsia"/>
                <w:color w:val="000000"/>
                <w:szCs w:val="21"/>
              </w:rPr>
              <w:t>生产和服务管理控制程序等；</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培训管理制度、员工职业健康及劳动保护管理规定、能源使用管理规定、特殊过程能力评</w:t>
            </w:r>
            <w:r w:rsidR="00B44145">
              <w:rPr>
                <w:rFonts w:hAnsi="宋体" w:hint="eastAsia"/>
                <w:color w:val="000000"/>
                <w:szCs w:val="21"/>
              </w:rPr>
              <w:t>价准则、选择评价和重新评价供方的准则、进货验收规范</w:t>
            </w:r>
            <w:r w:rsidRPr="0030479C">
              <w:rPr>
                <w:rFonts w:hAnsi="宋体" w:hint="eastAsia"/>
                <w:color w:val="000000"/>
                <w:szCs w:val="21"/>
              </w:rPr>
              <w:t>等；</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建立有外来文件清单，收集有中华人民共和国产品质量法、中华人民共和国环境保护法、中华人民共和国消</w:t>
            </w:r>
            <w:r w:rsidRPr="0030479C">
              <w:rPr>
                <w:rFonts w:hAnsi="宋体" w:hint="eastAsia"/>
                <w:color w:val="000000"/>
                <w:szCs w:val="21"/>
              </w:rPr>
              <w:lastRenderedPageBreak/>
              <w:t>防法等</w:t>
            </w:r>
            <w:r w:rsidRPr="0030479C">
              <w:rPr>
                <w:rFonts w:hAnsi="宋体" w:hint="eastAsia"/>
                <w:color w:val="000000"/>
                <w:szCs w:val="21"/>
              </w:rPr>
              <w:t>13</w:t>
            </w:r>
            <w:r w:rsidRPr="0030479C">
              <w:rPr>
                <w:rFonts w:hAnsi="宋体" w:hint="eastAsia"/>
                <w:color w:val="000000"/>
                <w:szCs w:val="21"/>
              </w:rPr>
              <w:t>个；</w:t>
            </w:r>
          </w:p>
          <w:p w:rsidR="003326DA" w:rsidRPr="0030479C" w:rsidRDefault="003326DA" w:rsidP="0030479C">
            <w:pPr>
              <w:snapToGrid w:val="0"/>
              <w:spacing w:line="360" w:lineRule="auto"/>
              <w:ind w:firstLineChars="200" w:firstLine="420"/>
              <w:rPr>
                <w:rFonts w:hAnsi="宋体"/>
                <w:color w:val="000000"/>
                <w:szCs w:val="21"/>
              </w:rPr>
            </w:pPr>
            <w:r w:rsidRPr="0030479C">
              <w:rPr>
                <w:rFonts w:hAnsi="宋体" w:hint="eastAsia"/>
                <w:color w:val="000000"/>
                <w:szCs w:val="21"/>
              </w:rPr>
              <w:t>建立适用的法律法规及其他要求一览表，收集质量、环境、职业健康安全相关法律法规、标准、条例、地方性法规等。</w:t>
            </w:r>
          </w:p>
          <w:p w:rsidR="003326DA" w:rsidRDefault="00B439D6" w:rsidP="00B439D6">
            <w:pPr>
              <w:snapToGrid w:val="0"/>
              <w:spacing w:line="360" w:lineRule="auto"/>
              <w:ind w:firstLineChars="100" w:firstLine="210"/>
              <w:rPr>
                <w:rFonts w:hAnsi="宋体"/>
                <w:color w:val="000000"/>
                <w:szCs w:val="21"/>
              </w:rPr>
            </w:pPr>
            <w:r>
              <w:rPr>
                <w:rFonts w:hAnsi="宋体" w:hint="eastAsia"/>
                <w:color w:val="000000"/>
                <w:szCs w:val="21"/>
              </w:rPr>
              <w:t>识别并确定了如下生产工艺过程：</w:t>
            </w:r>
          </w:p>
          <w:p w:rsidR="00B439D6" w:rsidRPr="00B439D6" w:rsidRDefault="00B439D6" w:rsidP="00B439D6">
            <w:pPr>
              <w:snapToGrid w:val="0"/>
              <w:spacing w:line="360" w:lineRule="auto"/>
              <w:rPr>
                <w:rFonts w:hAnsi="宋体"/>
                <w:color w:val="000000"/>
                <w:szCs w:val="21"/>
              </w:rPr>
            </w:pPr>
            <w:r w:rsidRPr="00B439D6">
              <w:rPr>
                <w:rFonts w:hAnsi="宋体" w:hint="eastAsia"/>
                <w:color w:val="000000"/>
                <w:szCs w:val="21"/>
              </w:rPr>
              <w:t>1</w:t>
            </w:r>
            <w:r w:rsidRPr="00B439D6">
              <w:rPr>
                <w:rFonts w:hAnsi="宋体" w:hint="eastAsia"/>
                <w:color w:val="000000"/>
                <w:szCs w:val="21"/>
              </w:rPr>
              <w:t>、木质件加工生产</w:t>
            </w:r>
          </w:p>
          <w:p w:rsidR="00B439D6" w:rsidRPr="00B439D6" w:rsidRDefault="00B439D6" w:rsidP="00B439D6">
            <w:pPr>
              <w:snapToGrid w:val="0"/>
              <w:spacing w:line="360" w:lineRule="auto"/>
              <w:ind w:firstLineChars="200" w:firstLine="420"/>
              <w:rPr>
                <w:rFonts w:hAnsi="宋体"/>
                <w:color w:val="000000"/>
                <w:szCs w:val="21"/>
              </w:rPr>
            </w:pPr>
            <w:r w:rsidRPr="00B439D6">
              <w:rPr>
                <w:rFonts w:hAnsi="宋体" w:hint="eastAsia"/>
                <w:color w:val="000000"/>
                <w:szCs w:val="21"/>
              </w:rPr>
              <w:t>A.</w:t>
            </w:r>
            <w:r w:rsidRPr="00B439D6">
              <w:rPr>
                <w:rFonts w:hAnsi="宋体" w:hint="eastAsia"/>
                <w:color w:val="000000"/>
                <w:szCs w:val="21"/>
              </w:rPr>
              <w:t>涂饰家具：</w:t>
            </w:r>
          </w:p>
          <w:p w:rsidR="00B439D6" w:rsidRPr="00B439D6" w:rsidRDefault="00B439D6" w:rsidP="00B439D6">
            <w:pPr>
              <w:snapToGrid w:val="0"/>
              <w:spacing w:line="360" w:lineRule="auto"/>
              <w:ind w:firstLineChars="200" w:firstLine="420"/>
              <w:rPr>
                <w:rFonts w:hAnsi="宋体"/>
                <w:color w:val="000000"/>
                <w:szCs w:val="21"/>
              </w:rPr>
            </w:pPr>
            <w:r>
              <w:rPr>
                <w:rFonts w:hAnsi="宋体" w:hint="eastAsia"/>
                <w:color w:val="000000"/>
                <w:szCs w:val="21"/>
              </w:rPr>
              <w:t>开料→胶压（需要时）→打孔→造型（需要时）→刮灰→打磨</w:t>
            </w:r>
            <w:r w:rsidRPr="00B439D6">
              <w:rPr>
                <w:rFonts w:hAnsi="宋体" w:hint="eastAsia"/>
                <w:color w:val="000000"/>
                <w:szCs w:val="21"/>
              </w:rPr>
              <w:t>→喷涂→组装→检验→入库</w:t>
            </w:r>
          </w:p>
          <w:p w:rsidR="00B439D6" w:rsidRPr="00B439D6" w:rsidRDefault="00B439D6" w:rsidP="00B439D6">
            <w:pPr>
              <w:snapToGrid w:val="0"/>
              <w:spacing w:line="360" w:lineRule="auto"/>
              <w:ind w:firstLineChars="200" w:firstLine="420"/>
              <w:rPr>
                <w:rFonts w:hAnsi="宋体"/>
                <w:color w:val="000000"/>
                <w:szCs w:val="21"/>
              </w:rPr>
            </w:pPr>
            <w:r w:rsidRPr="00B439D6">
              <w:rPr>
                <w:rFonts w:hAnsi="宋体" w:hint="eastAsia"/>
                <w:color w:val="000000"/>
                <w:szCs w:val="21"/>
              </w:rPr>
              <w:t>B.</w:t>
            </w:r>
            <w:r w:rsidRPr="00B439D6">
              <w:rPr>
                <w:rFonts w:hAnsi="宋体" w:hint="eastAsia"/>
                <w:color w:val="000000"/>
                <w:szCs w:val="21"/>
              </w:rPr>
              <w:t>覆面家具：</w:t>
            </w:r>
          </w:p>
          <w:p w:rsidR="00B439D6" w:rsidRPr="00B439D6" w:rsidRDefault="002A0E6B" w:rsidP="00B439D6">
            <w:pPr>
              <w:snapToGrid w:val="0"/>
              <w:spacing w:line="360" w:lineRule="auto"/>
              <w:ind w:firstLineChars="200" w:firstLine="420"/>
              <w:rPr>
                <w:rFonts w:hAnsi="宋体"/>
                <w:color w:val="000000"/>
                <w:szCs w:val="21"/>
              </w:rPr>
            </w:pPr>
            <w:r>
              <w:rPr>
                <w:rFonts w:hAnsi="宋体" w:hint="eastAsia"/>
                <w:color w:val="000000"/>
                <w:szCs w:val="21"/>
              </w:rPr>
              <w:t>开料→胶压（需要时）→打孔→造型（需要时）→刮灰→打磨→封边</w:t>
            </w:r>
            <w:r w:rsidR="00B439D6" w:rsidRPr="00B439D6">
              <w:rPr>
                <w:rFonts w:hAnsi="宋体" w:hint="eastAsia"/>
                <w:color w:val="000000"/>
                <w:szCs w:val="21"/>
              </w:rPr>
              <w:t>→组装→检验→入库</w:t>
            </w:r>
          </w:p>
          <w:p w:rsidR="00B439D6" w:rsidRPr="00B439D6" w:rsidRDefault="00B439D6" w:rsidP="00B439D6">
            <w:pPr>
              <w:snapToGrid w:val="0"/>
              <w:spacing w:line="360" w:lineRule="auto"/>
              <w:ind w:firstLineChars="200" w:firstLine="420"/>
              <w:rPr>
                <w:rFonts w:hAnsi="宋体"/>
                <w:color w:val="000000"/>
                <w:szCs w:val="21"/>
              </w:rPr>
            </w:pPr>
            <w:r w:rsidRPr="00B439D6">
              <w:rPr>
                <w:rFonts w:hAnsi="宋体" w:hint="eastAsia"/>
                <w:color w:val="000000"/>
                <w:szCs w:val="21"/>
              </w:rPr>
              <w:t>2</w:t>
            </w:r>
            <w:r w:rsidRPr="00B439D6">
              <w:rPr>
                <w:rFonts w:hAnsi="宋体" w:hint="eastAsia"/>
                <w:color w:val="000000"/>
                <w:szCs w:val="21"/>
              </w:rPr>
              <w:t>、钢木家具</w:t>
            </w:r>
          </w:p>
          <w:p w:rsidR="00B439D6" w:rsidRPr="00B439D6" w:rsidRDefault="00B439D6" w:rsidP="00B439D6">
            <w:pPr>
              <w:snapToGrid w:val="0"/>
              <w:spacing w:line="360" w:lineRule="auto"/>
              <w:ind w:firstLineChars="200" w:firstLine="420"/>
              <w:rPr>
                <w:rFonts w:hAnsi="宋体"/>
                <w:color w:val="000000"/>
                <w:szCs w:val="21"/>
              </w:rPr>
            </w:pPr>
            <w:r w:rsidRPr="00B439D6">
              <w:rPr>
                <w:rFonts w:hAnsi="宋体" w:hint="eastAsia"/>
                <w:color w:val="000000"/>
                <w:szCs w:val="21"/>
              </w:rPr>
              <w:t>木质件加工→金属件加工（外包）→组装→检验→入库</w:t>
            </w:r>
          </w:p>
          <w:p w:rsidR="00B439D6" w:rsidRPr="00B439D6" w:rsidRDefault="00B439D6" w:rsidP="00B439D6">
            <w:pPr>
              <w:snapToGrid w:val="0"/>
              <w:spacing w:line="360" w:lineRule="auto"/>
              <w:ind w:firstLineChars="200" w:firstLine="420"/>
              <w:rPr>
                <w:rFonts w:hAnsi="宋体"/>
                <w:color w:val="000000"/>
                <w:szCs w:val="21"/>
              </w:rPr>
            </w:pPr>
            <w:r w:rsidRPr="00B439D6">
              <w:rPr>
                <w:rFonts w:hAnsi="宋体" w:hint="eastAsia"/>
                <w:color w:val="000000"/>
                <w:szCs w:val="21"/>
              </w:rPr>
              <w:t>3</w:t>
            </w:r>
            <w:r w:rsidRPr="00B439D6">
              <w:rPr>
                <w:rFonts w:hAnsi="宋体" w:hint="eastAsia"/>
                <w:color w:val="000000"/>
                <w:szCs w:val="21"/>
              </w:rPr>
              <w:t>、软体家具：</w:t>
            </w:r>
          </w:p>
          <w:p w:rsidR="00B439D6" w:rsidRPr="00B439D6" w:rsidRDefault="00B439D6" w:rsidP="00B439D6">
            <w:pPr>
              <w:snapToGrid w:val="0"/>
              <w:spacing w:line="360" w:lineRule="auto"/>
              <w:ind w:firstLineChars="200" w:firstLine="420"/>
              <w:rPr>
                <w:rFonts w:hAnsi="宋体"/>
                <w:color w:val="000000"/>
                <w:szCs w:val="21"/>
              </w:rPr>
            </w:pPr>
            <w:r w:rsidRPr="00B439D6">
              <w:rPr>
                <w:rFonts w:hAnsi="宋体" w:hint="eastAsia"/>
                <w:color w:val="000000"/>
                <w:szCs w:val="21"/>
              </w:rPr>
              <w:t>椅子</w:t>
            </w:r>
            <w:r w:rsidRPr="00B439D6">
              <w:rPr>
                <w:rFonts w:hAnsi="宋体" w:hint="eastAsia"/>
                <w:color w:val="000000"/>
                <w:szCs w:val="21"/>
              </w:rPr>
              <w:t>/</w:t>
            </w:r>
            <w:r w:rsidRPr="00B439D6">
              <w:rPr>
                <w:rFonts w:hAnsi="宋体" w:hint="eastAsia"/>
                <w:color w:val="000000"/>
                <w:szCs w:val="21"/>
              </w:rPr>
              <w:t>床垫类：木质件的加工→软体件加工（车裁→缝纫）→组装→检验→入库</w:t>
            </w:r>
          </w:p>
          <w:p w:rsidR="00B439D6" w:rsidRPr="00B439D6" w:rsidRDefault="00B439D6" w:rsidP="00B439D6">
            <w:pPr>
              <w:snapToGrid w:val="0"/>
              <w:spacing w:line="360" w:lineRule="auto"/>
              <w:ind w:firstLineChars="200" w:firstLine="420"/>
              <w:rPr>
                <w:rFonts w:hAnsi="宋体"/>
                <w:color w:val="000000"/>
                <w:szCs w:val="21"/>
              </w:rPr>
            </w:pPr>
            <w:r w:rsidRPr="00B439D6">
              <w:rPr>
                <w:rFonts w:hAnsi="宋体" w:hint="eastAsia"/>
                <w:color w:val="000000"/>
                <w:szCs w:val="21"/>
              </w:rPr>
              <w:t>沙发：开料→钉架→开棉→打底→裁皮→扪皮→安装→检验→包装→入库</w:t>
            </w:r>
          </w:p>
          <w:p w:rsidR="00B13096" w:rsidRDefault="00B439D6" w:rsidP="008C0818">
            <w:pPr>
              <w:snapToGrid w:val="0"/>
              <w:spacing w:line="360" w:lineRule="auto"/>
              <w:ind w:firstLineChars="200" w:firstLine="420"/>
              <w:rPr>
                <w:rFonts w:hAnsi="宋体"/>
                <w:color w:val="000000"/>
                <w:szCs w:val="21"/>
              </w:rPr>
            </w:pPr>
            <w:r w:rsidRPr="00B44145">
              <w:rPr>
                <w:rFonts w:hAnsi="宋体" w:hint="eastAsia"/>
                <w:color w:val="000000"/>
                <w:szCs w:val="21"/>
              </w:rPr>
              <w:t>特殊过程：胶压过程、封边工序、喷漆工序。</w:t>
            </w:r>
          </w:p>
          <w:p w:rsidR="00F77BD6" w:rsidRDefault="00F77BD6" w:rsidP="008C0818">
            <w:pPr>
              <w:snapToGrid w:val="0"/>
              <w:spacing w:line="360" w:lineRule="auto"/>
              <w:ind w:firstLineChars="200" w:firstLine="420"/>
              <w:rPr>
                <w:rFonts w:hAnsi="宋体"/>
                <w:color w:val="000000"/>
                <w:szCs w:val="21"/>
              </w:rPr>
            </w:pPr>
            <w:r>
              <w:rPr>
                <w:rFonts w:hAnsi="宋体" w:hint="eastAsia"/>
                <w:color w:val="000000"/>
                <w:szCs w:val="21"/>
              </w:rPr>
              <w:t>外包过程：钢制件外包</w:t>
            </w:r>
          </w:p>
          <w:p w:rsidR="00FB5D47" w:rsidRPr="0030479C" w:rsidRDefault="00FB5D47" w:rsidP="00FB5D47">
            <w:pPr>
              <w:snapToGrid w:val="0"/>
              <w:spacing w:line="360" w:lineRule="auto"/>
              <w:ind w:firstLineChars="200" w:firstLine="420"/>
              <w:rPr>
                <w:rFonts w:hAnsi="宋体"/>
                <w:color w:val="000000"/>
                <w:szCs w:val="21"/>
              </w:rPr>
            </w:pPr>
            <w:r>
              <w:rPr>
                <w:rFonts w:hAnsi="宋体" w:hint="eastAsia"/>
                <w:color w:val="000000"/>
                <w:szCs w:val="21"/>
              </w:rPr>
              <w:t>编制有《</w:t>
            </w:r>
            <w:r w:rsidRPr="00FB5D47">
              <w:rPr>
                <w:rFonts w:hAnsi="宋体" w:hint="eastAsia"/>
                <w:color w:val="000000"/>
                <w:szCs w:val="21"/>
              </w:rPr>
              <w:t>管理变更控制程序》，明确定义了适用范围、职责及质量管理体系的变更策划</w:t>
            </w:r>
            <w:r>
              <w:rPr>
                <w:rFonts w:hAnsi="宋体" w:hint="eastAsia"/>
                <w:color w:val="000000"/>
                <w:szCs w:val="21"/>
              </w:rPr>
              <w:t>。程序文件要求：</w:t>
            </w:r>
            <w:r w:rsidRPr="00FB5D47">
              <w:rPr>
                <w:rFonts w:hAnsi="宋体" w:hint="eastAsia"/>
                <w:color w:val="000000"/>
                <w:szCs w:val="21"/>
              </w:rPr>
              <w:t>任何变更均应加以识别，并应在引入变更之前识别出与变更相关的潜在风险，并在实施前得到批准；</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F77BD6">
        <w:trPr>
          <w:trHeight w:val="431"/>
        </w:trPr>
        <w:tc>
          <w:tcPr>
            <w:tcW w:w="1242" w:type="dxa"/>
            <w:vAlign w:val="center"/>
          </w:tcPr>
          <w:p w:rsidR="00B13096" w:rsidRPr="0030479C" w:rsidRDefault="00CD6CD4" w:rsidP="003C649C">
            <w:pPr>
              <w:snapToGrid w:val="0"/>
              <w:spacing w:line="360" w:lineRule="auto"/>
              <w:rPr>
                <w:rFonts w:hAnsi="宋体"/>
                <w:color w:val="000000"/>
                <w:szCs w:val="21"/>
              </w:rPr>
            </w:pPr>
            <w:r w:rsidRPr="0030479C">
              <w:rPr>
                <w:rFonts w:hAnsi="宋体"/>
                <w:color w:val="000000"/>
                <w:szCs w:val="21"/>
              </w:rPr>
              <w:lastRenderedPageBreak/>
              <w:t>领导作用和承诺、组织的岗位</w:t>
            </w:r>
            <w:r w:rsidRPr="0030479C">
              <w:rPr>
                <w:rFonts w:hAnsi="宋体"/>
                <w:color w:val="000000"/>
                <w:szCs w:val="21"/>
              </w:rPr>
              <w:lastRenderedPageBreak/>
              <w:t>职责和权限</w:t>
            </w:r>
          </w:p>
        </w:tc>
        <w:tc>
          <w:tcPr>
            <w:tcW w:w="1276" w:type="dxa"/>
          </w:tcPr>
          <w:p w:rsidR="003C64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QEO:5.1</w:t>
            </w:r>
          </w:p>
          <w:p w:rsidR="00CD6CD4" w:rsidRPr="0030479C" w:rsidRDefault="00CD6CD4" w:rsidP="003C649C">
            <w:pPr>
              <w:snapToGrid w:val="0"/>
              <w:spacing w:line="360" w:lineRule="auto"/>
              <w:rPr>
                <w:rFonts w:hAnsi="宋体"/>
                <w:color w:val="000000"/>
                <w:szCs w:val="21"/>
              </w:rPr>
            </w:pPr>
            <w:r w:rsidRPr="0030479C">
              <w:rPr>
                <w:rFonts w:hAnsi="宋体" w:hint="eastAsia"/>
                <w:color w:val="000000"/>
                <w:szCs w:val="21"/>
              </w:rPr>
              <w:t>QEO:5.3</w:t>
            </w:r>
          </w:p>
        </w:tc>
        <w:tc>
          <w:tcPr>
            <w:tcW w:w="10606" w:type="dxa"/>
          </w:tcPr>
          <w:p w:rsidR="00CD6CD4" w:rsidRPr="0030479C" w:rsidRDefault="00CD6CD4" w:rsidP="0030479C">
            <w:pPr>
              <w:snapToGrid w:val="0"/>
              <w:spacing w:line="360" w:lineRule="auto"/>
              <w:ind w:firstLineChars="200" w:firstLine="420"/>
              <w:rPr>
                <w:rFonts w:hAnsi="宋体"/>
                <w:color w:val="000000"/>
                <w:szCs w:val="21"/>
              </w:rPr>
            </w:pPr>
            <w:r w:rsidRPr="0030479C">
              <w:rPr>
                <w:rFonts w:hAnsi="宋体" w:hint="eastAsia"/>
                <w:color w:val="000000"/>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w:t>
            </w:r>
            <w:r w:rsidRPr="0030479C">
              <w:rPr>
                <w:rFonts w:hAnsi="宋体" w:hint="eastAsia"/>
                <w:color w:val="000000"/>
                <w:szCs w:val="21"/>
              </w:rPr>
              <w:lastRenderedPageBreak/>
              <w:t>和机会的措施；定期进行管理评审等。公司的管理体系能融入到业务过程。</w:t>
            </w:r>
          </w:p>
          <w:p w:rsidR="00CD6CD4" w:rsidRPr="0030479C" w:rsidRDefault="00CD6CD4" w:rsidP="0030479C">
            <w:pPr>
              <w:snapToGrid w:val="0"/>
              <w:spacing w:line="360" w:lineRule="auto"/>
              <w:ind w:firstLineChars="200" w:firstLine="420"/>
              <w:rPr>
                <w:rFonts w:hAnsi="宋体"/>
                <w:color w:val="000000"/>
                <w:szCs w:val="21"/>
              </w:rPr>
            </w:pPr>
            <w:r w:rsidRPr="0030479C">
              <w:rPr>
                <w:rFonts w:hAnsi="宋体"/>
                <w:color w:val="000000"/>
                <w:szCs w:val="21"/>
              </w:rPr>
              <w:t>公司部门设置有：</w:t>
            </w:r>
            <w:r w:rsidRPr="0030479C">
              <w:rPr>
                <w:rFonts w:hAnsi="宋体" w:hint="eastAsia"/>
                <w:color w:val="000000"/>
                <w:szCs w:val="21"/>
              </w:rPr>
              <w:t>生产部、</w:t>
            </w:r>
            <w:r w:rsidRPr="0030479C">
              <w:rPr>
                <w:rFonts w:hAnsi="宋体"/>
                <w:color w:val="000000"/>
                <w:szCs w:val="21"/>
              </w:rPr>
              <w:t>行政部、销售部、采购部、财务部；</w:t>
            </w:r>
          </w:p>
          <w:p w:rsidR="00B13096" w:rsidRPr="0030479C" w:rsidRDefault="00CD6CD4" w:rsidP="0030479C">
            <w:pPr>
              <w:snapToGrid w:val="0"/>
              <w:spacing w:line="360" w:lineRule="auto"/>
              <w:ind w:firstLineChars="200" w:firstLine="420"/>
              <w:rPr>
                <w:rFonts w:hAnsi="宋体"/>
                <w:color w:val="000000"/>
                <w:szCs w:val="21"/>
              </w:rPr>
            </w:pPr>
            <w:r w:rsidRPr="0030479C">
              <w:rPr>
                <w:rFonts w:hAnsi="宋体"/>
                <w:color w:val="000000"/>
                <w:szCs w:val="21"/>
              </w:rPr>
              <w:t>编制了岗位职责汇编，以文件上发的形式沟通各部门的职责及各部门之间工作的联系。</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8F5A57">
        <w:trPr>
          <w:trHeight w:val="830"/>
        </w:trPr>
        <w:tc>
          <w:tcPr>
            <w:tcW w:w="1242" w:type="dxa"/>
            <w:vAlign w:val="center"/>
          </w:tcPr>
          <w:p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lastRenderedPageBreak/>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职业健康方针</w:t>
            </w:r>
          </w:p>
          <w:p w:rsidR="00B13096" w:rsidRPr="0030479C" w:rsidRDefault="00B96C50"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职业健康安全目标及其实现的策划</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QEO:5.2</w:t>
            </w:r>
          </w:p>
          <w:p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t>QEO:6.2</w:t>
            </w:r>
          </w:p>
        </w:tc>
        <w:tc>
          <w:tcPr>
            <w:tcW w:w="10606" w:type="dxa"/>
          </w:tcPr>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《管理手册》中明确了公司的质量、环境、职业健康安全方针是：</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质量环境职业健康安全方针：</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科技先行、持续创新、诚实守信、顾客至上</w:t>
            </w:r>
            <w:r w:rsidRPr="0030479C">
              <w:rPr>
                <w:rFonts w:hAnsi="宋体" w:hint="eastAsia"/>
                <w:color w:val="000000"/>
                <w:szCs w:val="21"/>
              </w:rPr>
              <w:t xml:space="preserve"> </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创造和谐，质量至上；遵章守法，预防为主。</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方针适宜于公司现状，在管理手册中明确，通过文件发放，使员工获知，适用时提供给相关方。并以方针为框架，建立了公司管理目标：</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质量目标：</w:t>
            </w:r>
            <w:r w:rsidRPr="0030479C">
              <w:rPr>
                <w:rFonts w:hAnsi="宋体" w:hint="eastAsia"/>
                <w:color w:val="000000"/>
                <w:szCs w:val="21"/>
              </w:rPr>
              <w:t>1.</w:t>
            </w:r>
            <w:r w:rsidRPr="0030479C">
              <w:rPr>
                <w:rFonts w:hAnsi="宋体" w:hint="eastAsia"/>
                <w:color w:val="000000"/>
                <w:szCs w:val="21"/>
              </w:rPr>
              <w:t>产品出厂合格率</w:t>
            </w:r>
            <w:r w:rsidRPr="0030479C">
              <w:rPr>
                <w:rFonts w:hAnsi="宋体" w:hint="eastAsia"/>
                <w:color w:val="000000"/>
                <w:szCs w:val="21"/>
              </w:rPr>
              <w:t>100%</w:t>
            </w:r>
            <w:r w:rsidRPr="0030479C">
              <w:rPr>
                <w:rFonts w:hAnsi="宋体" w:hint="eastAsia"/>
                <w:color w:val="000000"/>
                <w:szCs w:val="21"/>
              </w:rPr>
              <w:t>；</w:t>
            </w:r>
          </w:p>
          <w:p w:rsidR="00B96C50" w:rsidRPr="0030479C" w:rsidRDefault="00B96C50" w:rsidP="00F77BD6">
            <w:pPr>
              <w:snapToGrid w:val="0"/>
              <w:spacing w:line="360" w:lineRule="auto"/>
              <w:ind w:firstLineChars="700" w:firstLine="1470"/>
              <w:rPr>
                <w:rFonts w:hAnsi="宋体"/>
                <w:color w:val="000000"/>
                <w:szCs w:val="21"/>
              </w:rPr>
            </w:pPr>
            <w:r w:rsidRPr="0030479C">
              <w:rPr>
                <w:rFonts w:hAnsi="宋体" w:hint="eastAsia"/>
                <w:color w:val="000000"/>
                <w:szCs w:val="21"/>
              </w:rPr>
              <w:t>2.</w:t>
            </w:r>
            <w:r w:rsidRPr="0030479C">
              <w:rPr>
                <w:rFonts w:hAnsi="宋体" w:hint="eastAsia"/>
                <w:color w:val="000000"/>
                <w:szCs w:val="21"/>
              </w:rPr>
              <w:t>顾客满意度</w:t>
            </w:r>
            <w:r w:rsidRPr="0030479C">
              <w:rPr>
                <w:rFonts w:hAnsi="宋体" w:hint="eastAsia"/>
                <w:color w:val="000000"/>
                <w:szCs w:val="21"/>
              </w:rPr>
              <w:t>95</w:t>
            </w:r>
            <w:r w:rsidRPr="0030479C">
              <w:rPr>
                <w:rFonts w:hAnsi="宋体" w:hint="eastAsia"/>
                <w:color w:val="000000"/>
                <w:szCs w:val="21"/>
              </w:rPr>
              <w:t>分以上；</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环保安全目标：</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 xml:space="preserve">           1.</w:t>
            </w:r>
            <w:r w:rsidRPr="0030479C">
              <w:rPr>
                <w:rFonts w:hAnsi="宋体" w:hint="eastAsia"/>
                <w:color w:val="000000"/>
                <w:szCs w:val="21"/>
              </w:rPr>
              <w:t>固体废弃物分类管理，处理率为</w:t>
            </w:r>
            <w:r w:rsidRPr="0030479C">
              <w:rPr>
                <w:rFonts w:hAnsi="宋体" w:hint="eastAsia"/>
                <w:color w:val="000000"/>
                <w:szCs w:val="21"/>
              </w:rPr>
              <w:t>100%</w:t>
            </w:r>
            <w:r w:rsidRPr="0030479C">
              <w:rPr>
                <w:rFonts w:hAnsi="宋体" w:hint="eastAsia"/>
                <w:color w:val="000000"/>
                <w:szCs w:val="21"/>
              </w:rPr>
              <w:t>；</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 xml:space="preserve">           2.</w:t>
            </w:r>
            <w:r w:rsidRPr="0030479C">
              <w:rPr>
                <w:rFonts w:hAnsi="宋体" w:hint="eastAsia"/>
                <w:color w:val="000000"/>
                <w:szCs w:val="21"/>
              </w:rPr>
              <w:t>重大火灾事故为零；</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 xml:space="preserve">           3.</w:t>
            </w:r>
            <w:r w:rsidRPr="0030479C">
              <w:rPr>
                <w:rFonts w:hAnsi="宋体" w:hint="eastAsia"/>
                <w:color w:val="000000"/>
                <w:szCs w:val="21"/>
              </w:rPr>
              <w:t>职业病发病率为零；</w:t>
            </w:r>
          </w:p>
          <w:p w:rsidR="00B96C50" w:rsidRPr="0030479C" w:rsidRDefault="00B96C50" w:rsidP="0030479C">
            <w:pPr>
              <w:snapToGrid w:val="0"/>
              <w:spacing w:line="360" w:lineRule="auto"/>
              <w:ind w:firstLineChars="200" w:firstLine="420"/>
              <w:rPr>
                <w:rFonts w:hAnsi="宋体"/>
                <w:color w:val="000000"/>
                <w:szCs w:val="21"/>
              </w:rPr>
            </w:pPr>
            <w:r w:rsidRPr="0030479C">
              <w:rPr>
                <w:rFonts w:hAnsi="宋体" w:hint="eastAsia"/>
                <w:color w:val="000000"/>
                <w:szCs w:val="21"/>
              </w:rPr>
              <w:t xml:space="preserve">           4.</w:t>
            </w:r>
            <w:r w:rsidRPr="0030479C">
              <w:rPr>
                <w:rFonts w:hAnsi="宋体" w:hint="eastAsia"/>
                <w:color w:val="000000"/>
                <w:szCs w:val="21"/>
              </w:rPr>
              <w:t>员工重大责任伤亡率为</w:t>
            </w:r>
            <w:r w:rsidRPr="0030479C">
              <w:rPr>
                <w:rFonts w:hAnsi="宋体" w:hint="eastAsia"/>
                <w:color w:val="000000"/>
                <w:szCs w:val="21"/>
              </w:rPr>
              <w:t>0</w:t>
            </w:r>
            <w:r w:rsidRPr="0030479C">
              <w:rPr>
                <w:rFonts w:hAnsi="宋体" w:hint="eastAsia"/>
                <w:color w:val="000000"/>
                <w:szCs w:val="21"/>
              </w:rPr>
              <w:t>；</w:t>
            </w:r>
          </w:p>
          <w:p w:rsidR="00B13096" w:rsidRPr="0030479C" w:rsidRDefault="0079177F" w:rsidP="0079177F">
            <w:pPr>
              <w:pStyle w:val="a8"/>
              <w:ind w:firstLineChars="0" w:firstLine="0"/>
              <w:rPr>
                <w:rFonts w:hAnsi="宋体"/>
                <w:color w:val="000000"/>
                <w:szCs w:val="21"/>
              </w:rPr>
            </w:pPr>
            <w:r w:rsidRPr="0079177F">
              <w:rPr>
                <w:rFonts w:hAnsi="宋体" w:hint="eastAsia"/>
                <w:color w:val="000000"/>
                <w:szCs w:val="21"/>
              </w:rPr>
              <w:t>策划了“</w:t>
            </w:r>
            <w:r w:rsidRPr="0079177F">
              <w:rPr>
                <w:rFonts w:hAnsi="宋体" w:hint="eastAsia"/>
                <w:color w:val="000000"/>
                <w:szCs w:val="21"/>
              </w:rPr>
              <w:t>2022</w:t>
            </w:r>
            <w:r w:rsidRPr="0079177F">
              <w:rPr>
                <w:rFonts w:hAnsi="宋体" w:hint="eastAsia"/>
                <w:color w:val="000000"/>
                <w:szCs w:val="21"/>
              </w:rPr>
              <w:t>年目标管理方案”，</w:t>
            </w:r>
            <w:r w:rsidRPr="0030479C">
              <w:rPr>
                <w:rFonts w:hAnsi="宋体" w:hint="eastAsia"/>
                <w:color w:val="000000"/>
                <w:szCs w:val="21"/>
              </w:rPr>
              <w:t xml:space="preserve"> </w:t>
            </w:r>
            <w:r w:rsidRPr="0079177F">
              <w:rPr>
                <w:rFonts w:hAnsi="宋体" w:hint="eastAsia"/>
                <w:color w:val="000000"/>
                <w:szCs w:val="21"/>
              </w:rPr>
              <w:t>保留“</w:t>
            </w:r>
            <w:r w:rsidRPr="0079177F">
              <w:rPr>
                <w:rFonts w:hAnsi="宋体"/>
                <w:color w:val="000000"/>
                <w:szCs w:val="21"/>
              </w:rPr>
              <w:t>目标</w:t>
            </w:r>
            <w:r w:rsidRPr="0079177F">
              <w:rPr>
                <w:rFonts w:hAnsi="宋体" w:hint="eastAsia"/>
                <w:color w:val="000000"/>
                <w:szCs w:val="21"/>
              </w:rPr>
              <w:t>分解及</w:t>
            </w:r>
            <w:r w:rsidRPr="0079177F">
              <w:rPr>
                <w:rFonts w:hAnsi="宋体"/>
                <w:color w:val="000000"/>
                <w:szCs w:val="21"/>
              </w:rPr>
              <w:t>考核表</w:t>
            </w:r>
            <w:r w:rsidRPr="0079177F">
              <w:rPr>
                <w:rFonts w:hAnsi="宋体" w:hint="eastAsia"/>
                <w:color w:val="000000"/>
                <w:szCs w:val="21"/>
              </w:rPr>
              <w:t>”，查见部门进行了分解，考核结果显示</w:t>
            </w:r>
            <w:r w:rsidRPr="0079177F">
              <w:rPr>
                <w:rFonts w:hAnsi="宋体"/>
                <w:color w:val="000000"/>
                <w:szCs w:val="21"/>
              </w:rPr>
              <w:t>所有目标均已完成</w:t>
            </w:r>
            <w:r>
              <w:rPr>
                <w:rFonts w:hAnsi="宋体" w:hint="eastAsia"/>
                <w:color w:val="000000"/>
                <w:szCs w:val="21"/>
              </w:rPr>
              <w:t>。</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t>符合</w:t>
            </w:r>
          </w:p>
        </w:tc>
      </w:tr>
      <w:tr w:rsidR="00B13096" w:rsidRPr="0030479C" w:rsidTr="00DB500D">
        <w:trPr>
          <w:trHeight w:val="1823"/>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资源总则</w:t>
            </w:r>
          </w:p>
        </w:tc>
        <w:tc>
          <w:tcPr>
            <w:tcW w:w="1276" w:type="dxa"/>
            <w:vAlign w:val="center"/>
          </w:tcPr>
          <w:p w:rsidR="0030479C" w:rsidRPr="0030479C" w:rsidRDefault="0030479C" w:rsidP="003C649C">
            <w:pPr>
              <w:snapToGrid w:val="0"/>
              <w:spacing w:line="360" w:lineRule="auto"/>
              <w:rPr>
                <w:rFonts w:hAnsi="宋体"/>
                <w:color w:val="000000"/>
                <w:szCs w:val="21"/>
              </w:rPr>
            </w:pPr>
            <w:r w:rsidRPr="0030479C">
              <w:rPr>
                <w:rFonts w:hAnsi="宋体" w:hint="eastAsia"/>
                <w:color w:val="000000"/>
                <w:szCs w:val="21"/>
              </w:rPr>
              <w:t>Q:7.1.1</w:t>
            </w:r>
          </w:p>
          <w:p w:rsidR="00B13096" w:rsidRPr="0030479C" w:rsidRDefault="0030479C" w:rsidP="003C649C">
            <w:pPr>
              <w:snapToGrid w:val="0"/>
              <w:spacing w:line="360" w:lineRule="auto"/>
              <w:rPr>
                <w:rFonts w:hAnsi="宋体"/>
                <w:color w:val="000000"/>
                <w:szCs w:val="21"/>
              </w:rPr>
            </w:pPr>
            <w:r w:rsidRPr="0030479C">
              <w:rPr>
                <w:rFonts w:hAnsi="宋体" w:hint="eastAsia"/>
                <w:color w:val="000000"/>
                <w:szCs w:val="21"/>
              </w:rPr>
              <w:t>EO:7.1</w:t>
            </w:r>
          </w:p>
        </w:tc>
        <w:tc>
          <w:tcPr>
            <w:tcW w:w="10606" w:type="dxa"/>
          </w:tcPr>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江西博森家具有限公司，注册资金</w:t>
            </w:r>
            <w:r w:rsidR="00F77BD6">
              <w:rPr>
                <w:rFonts w:hAnsi="宋体" w:hint="eastAsia"/>
                <w:color w:val="000000"/>
                <w:szCs w:val="21"/>
              </w:rPr>
              <w:t>3</w:t>
            </w:r>
            <w:r w:rsidRPr="0030479C">
              <w:rPr>
                <w:rFonts w:hAnsi="宋体" w:hint="eastAsia"/>
                <w:color w:val="000000"/>
                <w:szCs w:val="21"/>
              </w:rPr>
              <w:t>000</w:t>
            </w:r>
            <w:r w:rsidRPr="0030479C">
              <w:rPr>
                <w:rFonts w:hAnsi="宋体" w:hint="eastAsia"/>
                <w:color w:val="000000"/>
                <w:szCs w:val="21"/>
              </w:rPr>
              <w:t>万元，占地面积约</w:t>
            </w:r>
            <w:r w:rsidRPr="0030479C">
              <w:rPr>
                <w:rFonts w:hAnsi="宋体" w:hint="eastAsia"/>
                <w:color w:val="000000"/>
                <w:szCs w:val="21"/>
              </w:rPr>
              <w:t>10000</w:t>
            </w:r>
            <w:r w:rsidRPr="0030479C">
              <w:rPr>
                <w:rFonts w:hAnsi="宋体" w:hint="eastAsia"/>
                <w:color w:val="000000"/>
                <w:szCs w:val="21"/>
              </w:rPr>
              <w:t>平方，总投资</w:t>
            </w:r>
            <w:r w:rsidRPr="0030479C">
              <w:rPr>
                <w:rFonts w:hAnsi="宋体" w:hint="eastAsia"/>
                <w:color w:val="000000"/>
                <w:szCs w:val="21"/>
              </w:rPr>
              <w:t>4200</w:t>
            </w:r>
            <w:r w:rsidRPr="0030479C">
              <w:rPr>
                <w:rFonts w:hAnsi="宋体" w:hint="eastAsia"/>
                <w:color w:val="000000"/>
                <w:szCs w:val="21"/>
              </w:rPr>
              <w:t>万元，主要生产办公家具、销售软体家具等产品。</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公司设有行政部、采购部、销售部、生产部、财务部，现有员工</w:t>
            </w:r>
            <w:r w:rsidR="000368B1">
              <w:rPr>
                <w:rFonts w:hAnsi="宋体" w:hint="eastAsia"/>
                <w:color w:val="000000"/>
                <w:szCs w:val="21"/>
              </w:rPr>
              <w:t>42</w:t>
            </w:r>
            <w:r w:rsidRPr="0030479C">
              <w:rPr>
                <w:rFonts w:hAnsi="宋体" w:hint="eastAsia"/>
                <w:color w:val="000000"/>
                <w:szCs w:val="21"/>
              </w:rPr>
              <w:t>余人。</w:t>
            </w:r>
          </w:p>
          <w:p w:rsidR="0030479C" w:rsidRPr="0030479C" w:rsidRDefault="00321710" w:rsidP="0030479C">
            <w:pPr>
              <w:snapToGrid w:val="0"/>
              <w:spacing w:line="360" w:lineRule="auto"/>
              <w:ind w:firstLineChars="200" w:firstLine="420"/>
              <w:rPr>
                <w:rFonts w:hAnsi="宋体"/>
                <w:color w:val="000000"/>
                <w:szCs w:val="21"/>
              </w:rPr>
            </w:pPr>
            <w:r>
              <w:rPr>
                <w:rFonts w:hAnsi="宋体" w:hint="eastAsia"/>
                <w:color w:val="000000"/>
                <w:szCs w:val="21"/>
              </w:rPr>
              <w:t>公司主要设备包括：电子开料锯、封边机、冷压机</w:t>
            </w:r>
            <w:r w:rsidR="0030479C" w:rsidRPr="0030479C">
              <w:rPr>
                <w:rFonts w:hAnsi="宋体" w:hint="eastAsia"/>
                <w:color w:val="000000"/>
                <w:szCs w:val="21"/>
              </w:rPr>
              <w:t>、推台锯、排钻、铜芯钻、自动喷漆生产线、底漆砂光机、中长吸尘器、翻板机、热压机、滚胶机、</w:t>
            </w:r>
            <w:r w:rsidR="0030479C" w:rsidRPr="0030479C">
              <w:rPr>
                <w:rFonts w:hAnsi="宋体"/>
                <w:color w:val="000000"/>
                <w:szCs w:val="21"/>
              </w:rPr>
              <w:t>游标卡尺、钢卷尺等</w:t>
            </w:r>
            <w:r w:rsidR="0030479C" w:rsidRPr="0030479C">
              <w:rPr>
                <w:rFonts w:hAnsi="宋体" w:hint="eastAsia"/>
                <w:color w:val="000000"/>
                <w:szCs w:val="21"/>
              </w:rPr>
              <w:t>；</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确认公司目前人力资源、基础设施、销售人员、财力、信息等资源均能保证。公司厂房，库房、行政部、会议室，现场配备了灭火器等消防安全设备，能保证企业正常办公。</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公司财务能保证质量、环境、职业健康安全工作的开展，确保相关资金及时投入。</w:t>
            </w:r>
          </w:p>
          <w:p w:rsidR="00B13096"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基本能满足体系运行的要求。</w:t>
            </w:r>
          </w:p>
        </w:tc>
        <w:tc>
          <w:tcPr>
            <w:tcW w:w="1585" w:type="dxa"/>
            <w:vAlign w:val="center"/>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t>符合</w:t>
            </w:r>
          </w:p>
        </w:tc>
      </w:tr>
      <w:tr w:rsidR="00B13096" w:rsidRPr="0030479C" w:rsidTr="00321710">
        <w:trPr>
          <w:trHeight w:val="701"/>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沟通</w:t>
            </w:r>
            <w:r w:rsidRPr="0030479C">
              <w:rPr>
                <w:rFonts w:hAnsi="宋体" w:hint="eastAsia"/>
                <w:color w:val="000000"/>
                <w:szCs w:val="21"/>
              </w:rPr>
              <w:t>/</w:t>
            </w:r>
            <w:r w:rsidRPr="0030479C">
              <w:rPr>
                <w:rFonts w:hAnsi="宋体" w:hint="eastAsia"/>
                <w:color w:val="000000"/>
                <w:szCs w:val="21"/>
              </w:rPr>
              <w:t>信息交流</w:t>
            </w:r>
          </w:p>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协商与参与</w:t>
            </w:r>
          </w:p>
        </w:tc>
        <w:tc>
          <w:tcPr>
            <w:tcW w:w="1276"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 : 7.4</w:t>
            </w:r>
          </w:p>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O</w:t>
            </w:r>
            <w:r w:rsidRPr="0030479C">
              <w:rPr>
                <w:rFonts w:hAnsi="宋体" w:hint="eastAsia"/>
                <w:color w:val="000000"/>
                <w:szCs w:val="21"/>
              </w:rPr>
              <w:t>：</w:t>
            </w:r>
            <w:r w:rsidRPr="0030479C">
              <w:rPr>
                <w:rFonts w:hAnsi="宋体" w:hint="eastAsia"/>
                <w:color w:val="000000"/>
                <w:szCs w:val="21"/>
              </w:rPr>
              <w:t>5.4</w:t>
            </w:r>
          </w:p>
        </w:tc>
        <w:tc>
          <w:tcPr>
            <w:tcW w:w="10606" w:type="dxa"/>
          </w:tcPr>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组织在各部门之间建立了与体系有关的信息通渠沟道，借助于会议、电话、微信、网络、口头交流等方式使全体员工达到沟通和理解。目前各部门协调一致，工作上的接口基本理顺。</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总经理定期主持经营办公例会，分析公司的发展、市场情况和体系运行是否有效，管理目标完成情况，满足顾客要求和法规程度，改进建议等内部管理存在问题等。</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总经理为协商、参与提供了时间、机会、培训、资源等保障，明确了沟通、协商、参与渠道，消除了障碍和壁垒。</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日常对于质量、环保、安全方面的信息主要利用会议、培训、座谈、电话、网络、收文等方式进行内外部沟</w:t>
            </w:r>
            <w:r w:rsidRPr="0030479C">
              <w:rPr>
                <w:rFonts w:hAnsi="宋体" w:hint="eastAsia"/>
                <w:color w:val="000000"/>
                <w:szCs w:val="21"/>
              </w:rPr>
              <w:lastRenderedPageBreak/>
              <w:t>通和协商。</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经交流：目前与环保、劳动、消防、安监部门的外部信息交流主要是参加会议、接收来文、电话、邮件等，均按要求予以传达和落实，沟通情况较好。</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相关人员能够适当参与并协商办理公司经营管理及安全事务等工作。</w:t>
            </w:r>
          </w:p>
          <w:p w:rsidR="0030479C" w:rsidRDefault="00321710" w:rsidP="0030479C">
            <w:pPr>
              <w:snapToGrid w:val="0"/>
              <w:spacing w:line="360" w:lineRule="auto"/>
              <w:ind w:firstLineChars="200" w:firstLine="420"/>
              <w:rPr>
                <w:rFonts w:hAnsi="宋体"/>
                <w:color w:val="000000"/>
                <w:szCs w:val="21"/>
              </w:rPr>
            </w:pPr>
            <w:r>
              <w:rPr>
                <w:rFonts w:hAnsi="宋体" w:hint="eastAsia"/>
                <w:color w:val="000000"/>
                <w:szCs w:val="21"/>
              </w:rPr>
              <w:t>公司经选举确定职业健康安全事务代表是</w:t>
            </w:r>
            <w:r w:rsidR="00B16A83" w:rsidRPr="0030479C">
              <w:rPr>
                <w:rFonts w:hAnsi="宋体" w:hint="eastAsia"/>
                <w:color w:val="000000"/>
                <w:szCs w:val="21"/>
              </w:rPr>
              <w:t>邓海浪</w:t>
            </w:r>
          </w:p>
          <w:p w:rsidR="00A53825" w:rsidRPr="00A53825" w:rsidRDefault="00A53825" w:rsidP="00A53825">
            <w:pPr>
              <w:spacing w:line="400" w:lineRule="atLeast"/>
              <w:ind w:firstLine="525"/>
              <w:rPr>
                <w:rFonts w:hAnsi="宋体"/>
                <w:color w:val="000000"/>
                <w:szCs w:val="21"/>
              </w:rPr>
            </w:pPr>
            <w:r w:rsidRPr="00A53825">
              <w:rPr>
                <w:rFonts w:hAnsi="宋体"/>
                <w:color w:val="000000"/>
                <w:szCs w:val="21"/>
              </w:rPr>
              <w:t>1.</w:t>
            </w:r>
            <w:r w:rsidRPr="00A53825">
              <w:rPr>
                <w:rFonts w:hAnsi="宋体" w:hint="eastAsia"/>
                <w:color w:val="000000"/>
                <w:szCs w:val="21"/>
              </w:rPr>
              <w:t>参与管理方针和程序的制定和评审；</w:t>
            </w:r>
          </w:p>
          <w:p w:rsidR="00A53825" w:rsidRPr="00A53825" w:rsidRDefault="00A53825" w:rsidP="00A53825">
            <w:pPr>
              <w:spacing w:line="400" w:lineRule="atLeast"/>
              <w:ind w:firstLine="525"/>
              <w:rPr>
                <w:rFonts w:hAnsi="宋体"/>
                <w:color w:val="000000"/>
                <w:szCs w:val="21"/>
              </w:rPr>
            </w:pPr>
            <w:r w:rsidRPr="00A53825">
              <w:rPr>
                <w:rFonts w:hAnsi="宋体"/>
                <w:color w:val="000000"/>
                <w:szCs w:val="21"/>
              </w:rPr>
              <w:t>2.</w:t>
            </w:r>
            <w:r w:rsidRPr="00A53825">
              <w:rPr>
                <w:rFonts w:hAnsi="宋体" w:hint="eastAsia"/>
                <w:color w:val="000000"/>
                <w:szCs w:val="21"/>
              </w:rPr>
              <w:t>参与商讨影响工作场所职业健康安全的任何变化；</w:t>
            </w:r>
          </w:p>
          <w:p w:rsidR="00A53825" w:rsidRPr="00A53825" w:rsidRDefault="00A53825" w:rsidP="00A53825">
            <w:pPr>
              <w:spacing w:line="400" w:lineRule="atLeast"/>
              <w:ind w:firstLine="525"/>
              <w:rPr>
                <w:rFonts w:hAnsi="宋体"/>
                <w:color w:val="000000"/>
                <w:szCs w:val="21"/>
              </w:rPr>
            </w:pPr>
            <w:r w:rsidRPr="00A53825">
              <w:rPr>
                <w:rFonts w:hAnsi="宋体"/>
                <w:color w:val="000000"/>
                <w:szCs w:val="21"/>
              </w:rPr>
              <w:t>3.</w:t>
            </w:r>
            <w:r w:rsidRPr="00A53825">
              <w:rPr>
                <w:rFonts w:hAnsi="宋体" w:hint="eastAsia"/>
                <w:color w:val="000000"/>
                <w:szCs w:val="21"/>
              </w:rPr>
              <w:t>参与职业健康安全的事务的处理。</w:t>
            </w:r>
          </w:p>
          <w:p w:rsidR="00A53825" w:rsidRPr="0030479C" w:rsidRDefault="00A53825" w:rsidP="00A53825">
            <w:pPr>
              <w:spacing w:line="400" w:lineRule="atLeast"/>
              <w:ind w:firstLine="525"/>
              <w:rPr>
                <w:rFonts w:hAnsi="宋体"/>
                <w:color w:val="000000"/>
                <w:szCs w:val="21"/>
              </w:rPr>
            </w:pPr>
            <w:r w:rsidRPr="00A53825">
              <w:rPr>
                <w:rFonts w:hAnsi="宋体" w:hint="eastAsia"/>
                <w:color w:val="000000"/>
                <w:szCs w:val="21"/>
              </w:rPr>
              <w:t>希望公司所有部门、全体员工服从协调，共同履行职责，确保管理体系有效运行。</w:t>
            </w:r>
          </w:p>
          <w:p w:rsidR="00B13096" w:rsidRPr="0030479C" w:rsidRDefault="0030479C" w:rsidP="0030479C">
            <w:pPr>
              <w:snapToGrid w:val="0"/>
              <w:spacing w:line="360" w:lineRule="auto"/>
              <w:ind w:firstLineChars="200" w:firstLine="420"/>
              <w:rPr>
                <w:rFonts w:hAnsi="宋体"/>
                <w:color w:val="000000"/>
                <w:szCs w:val="21"/>
              </w:rPr>
            </w:pPr>
            <w:r w:rsidRPr="0030479C">
              <w:rPr>
                <w:rFonts w:hAnsi="宋体" w:hint="eastAsia"/>
                <w:color w:val="000000"/>
                <w:szCs w:val="21"/>
              </w:rPr>
              <w:t>现有的沟通渠道和方法能满足要求。</w:t>
            </w:r>
          </w:p>
        </w:tc>
        <w:tc>
          <w:tcPr>
            <w:tcW w:w="1585" w:type="dxa"/>
            <w:vAlign w:val="center"/>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904A41">
        <w:trPr>
          <w:trHeight w:val="1151"/>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管理评审</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9.3</w:t>
            </w:r>
          </w:p>
        </w:tc>
        <w:tc>
          <w:tcPr>
            <w:tcW w:w="10606" w:type="dxa"/>
          </w:tcPr>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查看《管理评审程序》，基本符合要求。</w:t>
            </w:r>
            <w:r w:rsidRPr="0030479C">
              <w:rPr>
                <w:rFonts w:hAnsi="宋体"/>
                <w:color w:val="000000"/>
                <w:szCs w:val="21"/>
              </w:rPr>
              <w:t>20</w:t>
            </w:r>
            <w:r w:rsidR="000368B1">
              <w:rPr>
                <w:rFonts w:hAnsi="宋体" w:hint="eastAsia"/>
                <w:color w:val="000000"/>
                <w:szCs w:val="21"/>
              </w:rPr>
              <w:t>22</w:t>
            </w:r>
            <w:r w:rsidRPr="0030479C">
              <w:rPr>
                <w:rFonts w:hAnsi="宋体"/>
                <w:color w:val="000000"/>
                <w:szCs w:val="21"/>
              </w:rPr>
              <w:t>.</w:t>
            </w:r>
            <w:r w:rsidRPr="0030479C">
              <w:rPr>
                <w:rFonts w:hAnsi="宋体" w:hint="eastAsia"/>
                <w:color w:val="000000"/>
                <w:szCs w:val="21"/>
              </w:rPr>
              <w:t>3</w:t>
            </w:r>
            <w:r w:rsidRPr="0030479C">
              <w:rPr>
                <w:rFonts w:hAnsi="宋体"/>
                <w:color w:val="000000"/>
                <w:szCs w:val="21"/>
              </w:rPr>
              <w:t>.</w:t>
            </w:r>
            <w:r w:rsidR="000368B1">
              <w:rPr>
                <w:rFonts w:hAnsi="宋体" w:hint="eastAsia"/>
                <w:color w:val="000000"/>
                <w:szCs w:val="21"/>
              </w:rPr>
              <w:t>18</w:t>
            </w:r>
            <w:r w:rsidRPr="0030479C">
              <w:rPr>
                <w:rFonts w:hAnsi="宋体"/>
                <w:color w:val="000000"/>
                <w:szCs w:val="21"/>
              </w:rPr>
              <w:t>日进行了管理评审。</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查看“管理评审计划”，由郭春生签发；内容包括；评审目的、评审时间、参加部门人员、评审输入内容等。</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管理评审输入</w:t>
            </w:r>
            <w:r w:rsidRPr="0030479C">
              <w:rPr>
                <w:rFonts w:hAnsi="宋体"/>
                <w:color w:val="000000"/>
                <w:szCs w:val="21"/>
              </w:rPr>
              <w:t>:</w:t>
            </w:r>
            <w:r w:rsidRPr="0030479C">
              <w:rPr>
                <w:rFonts w:hAnsi="宋体"/>
                <w:color w:val="000000"/>
                <w:szCs w:val="21"/>
              </w:rPr>
              <w:t>包括组织的战略方向、与质量</w:t>
            </w:r>
            <w:r w:rsidRPr="0030479C">
              <w:rPr>
                <w:rFonts w:hAnsi="宋体"/>
                <w:color w:val="000000"/>
                <w:szCs w:val="21"/>
              </w:rPr>
              <w:t>/</w:t>
            </w:r>
            <w:r w:rsidRPr="0030479C">
              <w:rPr>
                <w:rFonts w:hAnsi="宋体"/>
                <w:color w:val="000000"/>
                <w:szCs w:val="21"/>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管理评审输出：</w:t>
            </w:r>
          </w:p>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B13096" w:rsidRPr="0030479C" w:rsidRDefault="0030479C" w:rsidP="00B02590">
            <w:pPr>
              <w:snapToGrid w:val="0"/>
              <w:spacing w:line="360" w:lineRule="auto"/>
              <w:ind w:firstLineChars="200" w:firstLine="420"/>
              <w:rPr>
                <w:rFonts w:hAnsi="宋体"/>
                <w:color w:val="000000"/>
                <w:szCs w:val="21"/>
              </w:rPr>
            </w:pPr>
            <w:r w:rsidRPr="0030479C">
              <w:rPr>
                <w:rFonts w:hAnsi="宋体"/>
                <w:color w:val="000000"/>
                <w:szCs w:val="21"/>
              </w:rPr>
              <w:lastRenderedPageBreak/>
              <w:t>提出了</w:t>
            </w:r>
            <w:r w:rsidRPr="0030479C">
              <w:rPr>
                <w:rFonts w:hAnsi="宋体" w:hint="eastAsia"/>
                <w:color w:val="000000"/>
                <w:szCs w:val="21"/>
              </w:rPr>
              <w:t>1</w:t>
            </w:r>
            <w:r w:rsidRPr="0030479C">
              <w:rPr>
                <w:rFonts w:hAnsi="宋体"/>
                <w:color w:val="000000"/>
                <w:szCs w:val="21"/>
              </w:rPr>
              <w:t>项改进措施</w:t>
            </w:r>
            <w:r w:rsidRPr="0030479C">
              <w:rPr>
                <w:rFonts w:hAnsi="宋体"/>
                <w:color w:val="000000"/>
                <w:szCs w:val="21"/>
              </w:rPr>
              <w:t>:</w:t>
            </w:r>
            <w:r w:rsidR="00B02590">
              <w:rPr>
                <w:rFonts w:ascii="宋体" w:hAnsi="宋体" w:hint="eastAsia"/>
              </w:rPr>
              <w:t xml:space="preserve"> 生产效率提升</w:t>
            </w:r>
            <w:r w:rsidRPr="0030479C">
              <w:rPr>
                <w:rFonts w:hAnsi="宋体" w:hint="eastAsia"/>
                <w:color w:val="000000"/>
                <w:szCs w:val="21"/>
              </w:rPr>
              <w:t>；制订了改善计划，正在实施中。</w:t>
            </w:r>
          </w:p>
        </w:tc>
        <w:tc>
          <w:tcPr>
            <w:tcW w:w="1585" w:type="dxa"/>
            <w:vAlign w:val="center"/>
          </w:tcPr>
          <w:p w:rsidR="00B13096" w:rsidRPr="0030479C" w:rsidRDefault="00B13096" w:rsidP="003C649C">
            <w:pPr>
              <w:snapToGrid w:val="0"/>
              <w:spacing w:line="360" w:lineRule="auto"/>
              <w:rPr>
                <w:rFonts w:hAnsi="宋体"/>
                <w:color w:val="000000"/>
                <w:szCs w:val="21"/>
              </w:rPr>
            </w:pPr>
            <w:r w:rsidRPr="0030479C">
              <w:rPr>
                <w:rFonts w:hAnsi="宋体"/>
                <w:color w:val="000000"/>
                <w:szCs w:val="21"/>
              </w:rPr>
              <w:lastRenderedPageBreak/>
              <w:t>符合</w:t>
            </w:r>
          </w:p>
        </w:tc>
      </w:tr>
      <w:tr w:rsidR="00B13096" w:rsidRPr="0030479C" w:rsidTr="00904A41">
        <w:trPr>
          <w:trHeight w:val="1151"/>
        </w:trPr>
        <w:tc>
          <w:tcPr>
            <w:tcW w:w="1242" w:type="dxa"/>
            <w:vAlign w:val="center"/>
          </w:tcPr>
          <w:p w:rsidR="00B13096" w:rsidRPr="0030479C" w:rsidRDefault="00B13096" w:rsidP="003C649C">
            <w:pPr>
              <w:snapToGrid w:val="0"/>
              <w:spacing w:line="360" w:lineRule="auto"/>
              <w:rPr>
                <w:rFonts w:hAnsi="宋体"/>
                <w:color w:val="000000"/>
                <w:szCs w:val="21"/>
              </w:rPr>
            </w:pPr>
          </w:p>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持续改进</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10.1 QEO</w:t>
            </w:r>
            <w:r w:rsidRPr="0030479C">
              <w:rPr>
                <w:rFonts w:hAnsi="宋体" w:hint="eastAsia"/>
                <w:color w:val="000000"/>
                <w:szCs w:val="21"/>
              </w:rPr>
              <w:t>：</w:t>
            </w:r>
            <w:r w:rsidRPr="0030479C">
              <w:rPr>
                <w:rFonts w:hAnsi="宋体" w:hint="eastAsia"/>
                <w:color w:val="000000"/>
                <w:szCs w:val="21"/>
              </w:rPr>
              <w:t>10.3</w:t>
            </w:r>
          </w:p>
        </w:tc>
        <w:tc>
          <w:tcPr>
            <w:tcW w:w="10606" w:type="dxa"/>
          </w:tcPr>
          <w:p w:rsidR="0030479C"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13096" w:rsidRPr="0030479C" w:rsidRDefault="0030479C" w:rsidP="0030479C">
            <w:pPr>
              <w:snapToGrid w:val="0"/>
              <w:spacing w:line="360" w:lineRule="auto"/>
              <w:ind w:firstLineChars="200" w:firstLine="420"/>
              <w:rPr>
                <w:rFonts w:hAnsi="宋体"/>
                <w:color w:val="000000"/>
                <w:szCs w:val="21"/>
              </w:rPr>
            </w:pPr>
            <w:r w:rsidRPr="0030479C">
              <w:rPr>
                <w:rFonts w:hAnsi="宋体"/>
                <w:color w:val="000000"/>
                <w:szCs w:val="21"/>
              </w:rPr>
              <w:t>自体系运行以来，全员的质量意识、服务意识、环保意识有较大的提高，市场经营规模有了较大发展，持续改进了管理体系的有效性。</w:t>
            </w:r>
          </w:p>
        </w:tc>
        <w:tc>
          <w:tcPr>
            <w:tcW w:w="1585" w:type="dxa"/>
            <w:vAlign w:val="center"/>
          </w:tcPr>
          <w:p w:rsidR="00B13096" w:rsidRPr="0030479C" w:rsidRDefault="00B13096" w:rsidP="003C649C">
            <w:pPr>
              <w:snapToGrid w:val="0"/>
              <w:spacing w:line="360" w:lineRule="auto"/>
              <w:rPr>
                <w:rFonts w:hAnsi="宋体"/>
                <w:color w:val="000000"/>
                <w:szCs w:val="21"/>
              </w:rPr>
            </w:pPr>
            <w:r w:rsidRPr="0030479C">
              <w:rPr>
                <w:rFonts w:hAnsi="宋体"/>
                <w:color w:val="000000"/>
                <w:szCs w:val="21"/>
              </w:rPr>
              <w:t>符合</w:t>
            </w:r>
          </w:p>
        </w:tc>
      </w:tr>
      <w:tr w:rsidR="0030479C" w:rsidRPr="00DF525C" w:rsidTr="00077F26">
        <w:trPr>
          <w:trHeight w:val="1151"/>
        </w:trPr>
        <w:tc>
          <w:tcPr>
            <w:tcW w:w="1242" w:type="dxa"/>
            <w:vAlign w:val="center"/>
          </w:tcPr>
          <w:p w:rsidR="0030479C" w:rsidRPr="00440FC6" w:rsidRDefault="0030479C" w:rsidP="00B53839">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276" w:type="dxa"/>
            <w:vAlign w:val="center"/>
          </w:tcPr>
          <w:p w:rsidR="0030479C" w:rsidRPr="00440FC6" w:rsidRDefault="0030479C" w:rsidP="00B53839">
            <w:pPr>
              <w:rPr>
                <w:szCs w:val="21"/>
              </w:rPr>
            </w:pPr>
          </w:p>
        </w:tc>
        <w:tc>
          <w:tcPr>
            <w:tcW w:w="10606" w:type="dxa"/>
            <w:vAlign w:val="center"/>
          </w:tcPr>
          <w:p w:rsidR="0030479C" w:rsidRPr="00440FC6" w:rsidRDefault="0030479C" w:rsidP="00B53839">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vAlign w:val="center"/>
          </w:tcPr>
          <w:p w:rsidR="0030479C" w:rsidRDefault="003C649C" w:rsidP="00B12A66">
            <w:pPr>
              <w:spacing w:line="360" w:lineRule="auto"/>
              <w:rPr>
                <w:rFonts w:ascii="楷体" w:eastAsia="楷体" w:hAnsi="楷体"/>
                <w:sz w:val="24"/>
                <w:szCs w:val="24"/>
              </w:rPr>
            </w:pPr>
            <w:r w:rsidRPr="0030479C">
              <w:rPr>
                <w:rFonts w:hAnsi="宋体"/>
                <w:color w:val="000000"/>
                <w:szCs w:val="21"/>
              </w:rPr>
              <w:t>符合</w:t>
            </w:r>
          </w:p>
        </w:tc>
      </w:tr>
      <w:tr w:rsidR="0030479C" w:rsidRPr="00DF525C" w:rsidTr="00077F26">
        <w:trPr>
          <w:trHeight w:val="1151"/>
        </w:trPr>
        <w:tc>
          <w:tcPr>
            <w:tcW w:w="1242" w:type="dxa"/>
            <w:vAlign w:val="center"/>
          </w:tcPr>
          <w:p w:rsidR="0030479C" w:rsidRPr="00440FC6" w:rsidRDefault="0030479C" w:rsidP="00B53839">
            <w:pPr>
              <w:rPr>
                <w:rFonts w:hAnsi="宋体"/>
                <w:szCs w:val="21"/>
              </w:rPr>
            </w:pPr>
            <w:r w:rsidRPr="00440FC6">
              <w:rPr>
                <w:rFonts w:hAnsi="宋体" w:hint="eastAsia"/>
                <w:szCs w:val="21"/>
              </w:rPr>
              <w:t>上次审核不符合项的验证</w:t>
            </w:r>
          </w:p>
        </w:tc>
        <w:tc>
          <w:tcPr>
            <w:tcW w:w="1276" w:type="dxa"/>
            <w:vAlign w:val="center"/>
          </w:tcPr>
          <w:p w:rsidR="0030479C" w:rsidRPr="00440FC6" w:rsidRDefault="0030479C" w:rsidP="00B53839">
            <w:pPr>
              <w:rPr>
                <w:szCs w:val="21"/>
              </w:rPr>
            </w:pPr>
          </w:p>
        </w:tc>
        <w:tc>
          <w:tcPr>
            <w:tcW w:w="10606" w:type="dxa"/>
            <w:vAlign w:val="center"/>
          </w:tcPr>
          <w:p w:rsidR="00D62D0D" w:rsidRDefault="0030479C" w:rsidP="00B53839">
            <w:pPr>
              <w:snapToGrid w:val="0"/>
              <w:spacing w:line="360" w:lineRule="auto"/>
              <w:ind w:firstLineChars="200" w:firstLine="420"/>
              <w:rPr>
                <w:rFonts w:hAnsi="宋体"/>
                <w:color w:val="000000"/>
                <w:szCs w:val="21"/>
              </w:rPr>
            </w:pPr>
            <w:r w:rsidRPr="00374B9B">
              <w:rPr>
                <w:rFonts w:hAnsi="宋体" w:hint="eastAsia"/>
                <w:color w:val="000000"/>
                <w:szCs w:val="21"/>
              </w:rPr>
              <w:t>上次审核不符合项</w:t>
            </w:r>
            <w:r w:rsidR="00D62D0D">
              <w:rPr>
                <w:rFonts w:hAnsi="宋体" w:hint="eastAsia"/>
                <w:color w:val="000000"/>
                <w:szCs w:val="21"/>
              </w:rPr>
              <w:t>2</w:t>
            </w:r>
            <w:r w:rsidRPr="00374B9B">
              <w:rPr>
                <w:rFonts w:hAnsi="宋体" w:hint="eastAsia"/>
                <w:color w:val="000000"/>
                <w:szCs w:val="21"/>
              </w:rPr>
              <w:t>个：</w:t>
            </w:r>
          </w:p>
          <w:p w:rsidR="00D62D0D" w:rsidRPr="00C93E21" w:rsidRDefault="00D62D0D" w:rsidP="00D62D0D">
            <w:pPr>
              <w:pStyle w:val="a7"/>
              <w:numPr>
                <w:ilvl w:val="0"/>
                <w:numId w:val="7"/>
              </w:numPr>
              <w:ind w:firstLineChars="0"/>
              <w:rPr>
                <w:rFonts w:hAnsi="宋体"/>
                <w:color w:val="000000" w:themeColor="text1"/>
                <w:szCs w:val="21"/>
              </w:rPr>
            </w:pPr>
            <w:r w:rsidRPr="00C93E21">
              <w:rPr>
                <w:rFonts w:hAnsi="宋体" w:hint="eastAsia"/>
                <w:color w:val="000000" w:themeColor="text1"/>
                <w:szCs w:val="21"/>
              </w:rPr>
              <w:t>现场审核发现，生产部使用的游标卡尺、钢卷尺未见受检状态标识。</w:t>
            </w:r>
          </w:p>
          <w:p w:rsidR="00D62D0D" w:rsidRPr="00C93E21" w:rsidRDefault="00D62D0D" w:rsidP="00D62D0D">
            <w:pPr>
              <w:ind w:firstLineChars="200" w:firstLine="420"/>
              <w:rPr>
                <w:rFonts w:hAnsi="宋体"/>
                <w:color w:val="000000" w:themeColor="text1"/>
                <w:szCs w:val="21"/>
              </w:rPr>
            </w:pPr>
            <w:r w:rsidRPr="00C93E21">
              <w:rPr>
                <w:rFonts w:hAnsi="宋体" w:hint="eastAsia"/>
                <w:color w:val="000000" w:themeColor="text1"/>
                <w:szCs w:val="21"/>
              </w:rPr>
              <w:t>2</w:t>
            </w:r>
            <w:r w:rsidRPr="00C93E21">
              <w:rPr>
                <w:rFonts w:hAnsi="宋体" w:hint="eastAsia"/>
                <w:color w:val="000000" w:themeColor="text1"/>
                <w:szCs w:val="21"/>
              </w:rPr>
              <w:t>、现场审核发现，生产部封边工序，员工操作未按要求佩带耳塞进行防护噪音伤害，不符合要求。</w:t>
            </w:r>
          </w:p>
          <w:p w:rsidR="0030479C" w:rsidRPr="00D62D0D" w:rsidRDefault="0030479C" w:rsidP="00B53839">
            <w:pPr>
              <w:snapToGrid w:val="0"/>
              <w:spacing w:line="360" w:lineRule="auto"/>
              <w:ind w:firstLineChars="200" w:firstLine="420"/>
              <w:rPr>
                <w:rFonts w:hAnsi="宋体"/>
                <w:color w:val="000000"/>
                <w:szCs w:val="21"/>
              </w:rPr>
            </w:pPr>
            <w:r w:rsidRPr="00374B9B">
              <w:rPr>
                <w:rFonts w:hAnsi="宋体" w:hint="eastAsia"/>
                <w:color w:val="000000"/>
                <w:szCs w:val="21"/>
              </w:rPr>
              <w:t>经本次审核验证无类似不符合情况出现，整改措施有效。</w:t>
            </w:r>
          </w:p>
        </w:tc>
        <w:tc>
          <w:tcPr>
            <w:tcW w:w="1585" w:type="dxa"/>
            <w:vAlign w:val="center"/>
          </w:tcPr>
          <w:p w:rsidR="0030479C" w:rsidRDefault="003C649C" w:rsidP="00B12A66">
            <w:pPr>
              <w:spacing w:line="360" w:lineRule="auto"/>
              <w:rPr>
                <w:rFonts w:ascii="楷体" w:eastAsia="楷体" w:hAnsi="楷体"/>
                <w:sz w:val="24"/>
                <w:szCs w:val="24"/>
              </w:rPr>
            </w:pPr>
            <w:r w:rsidRPr="0030479C">
              <w:rPr>
                <w:rFonts w:hAnsi="宋体"/>
                <w:color w:val="000000"/>
                <w:szCs w:val="21"/>
              </w:rPr>
              <w:t>符合</w:t>
            </w:r>
          </w:p>
        </w:tc>
      </w:tr>
      <w:tr w:rsidR="0030479C" w:rsidRPr="00DF525C" w:rsidTr="00077F26">
        <w:trPr>
          <w:trHeight w:val="1151"/>
        </w:trPr>
        <w:tc>
          <w:tcPr>
            <w:tcW w:w="1242" w:type="dxa"/>
            <w:vAlign w:val="center"/>
          </w:tcPr>
          <w:p w:rsidR="0030479C" w:rsidRPr="00440FC6" w:rsidRDefault="0030479C" w:rsidP="00B53839">
            <w:pPr>
              <w:rPr>
                <w:rFonts w:hAnsi="宋体"/>
                <w:szCs w:val="21"/>
              </w:rPr>
            </w:pPr>
            <w:r w:rsidRPr="00440FC6">
              <w:rPr>
                <w:rFonts w:hAnsi="宋体" w:hint="eastAsia"/>
                <w:szCs w:val="21"/>
              </w:rPr>
              <w:t>认证证书、标志的使用情况</w:t>
            </w:r>
          </w:p>
        </w:tc>
        <w:tc>
          <w:tcPr>
            <w:tcW w:w="1276" w:type="dxa"/>
            <w:vAlign w:val="center"/>
          </w:tcPr>
          <w:p w:rsidR="0030479C" w:rsidRPr="00440FC6" w:rsidRDefault="0030479C" w:rsidP="00B53839">
            <w:pPr>
              <w:rPr>
                <w:szCs w:val="21"/>
              </w:rPr>
            </w:pPr>
          </w:p>
        </w:tc>
        <w:tc>
          <w:tcPr>
            <w:tcW w:w="10606" w:type="dxa"/>
            <w:vAlign w:val="center"/>
          </w:tcPr>
          <w:p w:rsidR="0030479C" w:rsidRPr="00440FC6" w:rsidRDefault="0030479C" w:rsidP="00B53839">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vAlign w:val="center"/>
          </w:tcPr>
          <w:p w:rsidR="0030479C" w:rsidRDefault="003C649C" w:rsidP="00B12A66">
            <w:pPr>
              <w:spacing w:line="360" w:lineRule="auto"/>
              <w:rPr>
                <w:rFonts w:ascii="楷体" w:eastAsia="楷体" w:hAnsi="楷体"/>
                <w:sz w:val="24"/>
                <w:szCs w:val="24"/>
              </w:rPr>
            </w:pPr>
            <w:r w:rsidRPr="0030479C">
              <w:rPr>
                <w:rFonts w:hAnsi="宋体"/>
                <w:color w:val="000000"/>
                <w:szCs w:val="21"/>
              </w:rPr>
              <w:t>符合</w:t>
            </w:r>
          </w:p>
        </w:tc>
      </w:tr>
      <w:tr w:rsidR="003C649C" w:rsidRPr="00DF525C" w:rsidTr="00077F26">
        <w:trPr>
          <w:trHeight w:val="1151"/>
        </w:trPr>
        <w:tc>
          <w:tcPr>
            <w:tcW w:w="1242" w:type="dxa"/>
            <w:vAlign w:val="center"/>
          </w:tcPr>
          <w:p w:rsidR="003C649C" w:rsidRPr="00440FC6" w:rsidRDefault="003C649C" w:rsidP="00B53839">
            <w:pPr>
              <w:rPr>
                <w:rFonts w:hAnsi="宋体"/>
                <w:szCs w:val="21"/>
              </w:rPr>
            </w:pPr>
            <w:r w:rsidRPr="00440FC6">
              <w:rPr>
                <w:rFonts w:hAnsi="宋体" w:hint="eastAsia"/>
                <w:szCs w:val="21"/>
              </w:rPr>
              <w:t>投诉或事故、监督抽查情况、</w:t>
            </w:r>
          </w:p>
        </w:tc>
        <w:tc>
          <w:tcPr>
            <w:tcW w:w="1276" w:type="dxa"/>
            <w:vAlign w:val="center"/>
          </w:tcPr>
          <w:p w:rsidR="003C649C" w:rsidRPr="00440FC6" w:rsidRDefault="003C649C" w:rsidP="00B53839">
            <w:pPr>
              <w:rPr>
                <w:szCs w:val="21"/>
              </w:rPr>
            </w:pPr>
          </w:p>
        </w:tc>
        <w:tc>
          <w:tcPr>
            <w:tcW w:w="10606" w:type="dxa"/>
            <w:vAlign w:val="center"/>
          </w:tcPr>
          <w:p w:rsidR="003C649C" w:rsidRPr="00440FC6" w:rsidRDefault="003C649C" w:rsidP="00B53839">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3C649C" w:rsidRPr="00C93E21" w:rsidRDefault="003C649C" w:rsidP="00B53839">
            <w:pPr>
              <w:snapToGrid w:val="0"/>
              <w:spacing w:line="360" w:lineRule="auto"/>
              <w:ind w:firstLineChars="200" w:firstLine="420"/>
              <w:rPr>
                <w:rFonts w:hAnsi="宋体"/>
                <w:color w:val="000000" w:themeColor="text1"/>
                <w:szCs w:val="21"/>
              </w:rPr>
            </w:pPr>
            <w:r w:rsidRPr="00C93E21">
              <w:rPr>
                <w:rFonts w:hAnsi="宋体" w:hint="eastAsia"/>
                <w:color w:val="000000" w:themeColor="text1"/>
                <w:szCs w:val="21"/>
              </w:rPr>
              <w:t>暂时没有国家</w:t>
            </w:r>
            <w:r w:rsidRPr="00C93E21">
              <w:rPr>
                <w:rFonts w:hAnsi="宋体" w:hint="eastAsia"/>
                <w:color w:val="000000" w:themeColor="text1"/>
                <w:szCs w:val="21"/>
              </w:rPr>
              <w:t>/</w:t>
            </w:r>
            <w:r w:rsidRPr="00C93E21">
              <w:rPr>
                <w:rFonts w:hAnsi="宋体" w:hint="eastAsia"/>
                <w:color w:val="000000" w:themeColor="text1"/>
                <w:szCs w:val="21"/>
              </w:rPr>
              <w:t>地方抽查情况。</w:t>
            </w:r>
          </w:p>
          <w:p w:rsidR="003C649C" w:rsidRPr="00440FC6" w:rsidRDefault="003C649C" w:rsidP="00B53839">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vAlign w:val="center"/>
          </w:tcPr>
          <w:p w:rsidR="003C649C" w:rsidRPr="0030479C" w:rsidRDefault="003C649C" w:rsidP="00B12A66">
            <w:pPr>
              <w:spacing w:line="360" w:lineRule="auto"/>
              <w:rPr>
                <w:rFonts w:hAnsi="宋体"/>
                <w:color w:val="000000"/>
                <w:szCs w:val="21"/>
              </w:rPr>
            </w:pPr>
            <w:r w:rsidRPr="0030479C">
              <w:rPr>
                <w:rFonts w:hAnsi="宋体"/>
                <w:color w:val="000000"/>
                <w:szCs w:val="21"/>
              </w:rPr>
              <w:t>符合</w:t>
            </w:r>
          </w:p>
        </w:tc>
      </w:tr>
    </w:tbl>
    <w:p w:rsidR="00C2621F" w:rsidRPr="00DF525C" w:rsidRDefault="00CE5C79">
      <w:pPr>
        <w:rPr>
          <w:rFonts w:eastAsiaTheme="minorEastAsia"/>
        </w:rPr>
      </w:pPr>
      <w:r w:rsidRPr="00DF525C">
        <w:rPr>
          <w:rFonts w:eastAsiaTheme="minorEastAsia"/>
        </w:rPr>
        <w:lastRenderedPageBreak/>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E61" w:rsidRDefault="002A7E61" w:rsidP="004749F5">
      <w:r>
        <w:separator/>
      </w:r>
    </w:p>
  </w:endnote>
  <w:endnote w:type="continuationSeparator" w:id="1">
    <w:p w:rsidR="002A7E61" w:rsidRDefault="002A7E61"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FF6FD9">
            <w:pPr>
              <w:pStyle w:val="a4"/>
              <w:jc w:val="center"/>
            </w:pPr>
            <w:r>
              <w:rPr>
                <w:b/>
                <w:sz w:val="24"/>
                <w:szCs w:val="24"/>
              </w:rPr>
              <w:fldChar w:fldCharType="begin"/>
            </w:r>
            <w:r w:rsidR="00C2621F">
              <w:rPr>
                <w:b/>
              </w:rPr>
              <w:instrText>PAGE</w:instrText>
            </w:r>
            <w:r>
              <w:rPr>
                <w:b/>
                <w:sz w:val="24"/>
                <w:szCs w:val="24"/>
              </w:rPr>
              <w:fldChar w:fldCharType="separate"/>
            </w:r>
            <w:r w:rsidR="000C03E0">
              <w:rPr>
                <w:b/>
                <w:noProof/>
              </w:rPr>
              <w:t>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0C03E0">
              <w:rPr>
                <w:b/>
                <w:noProof/>
              </w:rPr>
              <w:t>10</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E61" w:rsidRDefault="002A7E61" w:rsidP="004749F5">
      <w:r>
        <w:separator/>
      </w:r>
    </w:p>
  </w:footnote>
  <w:footnote w:type="continuationSeparator" w:id="1">
    <w:p w:rsidR="002A7E61" w:rsidRDefault="002A7E61"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CD6CD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FF6FD9" w:rsidRPr="00FF6FD9">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CD6CD4">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EF279D"/>
    <w:multiLevelType w:val="singleLevel"/>
    <w:tmpl w:val="58EF279D"/>
    <w:lvl w:ilvl="0">
      <w:start w:val="1"/>
      <w:numFmt w:val="decimal"/>
      <w:suff w:val="nothing"/>
      <w:lvlText w:val="%1."/>
      <w:lvlJc w:val="left"/>
    </w:lvl>
  </w:abstractNum>
  <w:abstractNum w:abstractNumId="4">
    <w:nsid w:val="59375C33"/>
    <w:multiLevelType w:val="singleLevel"/>
    <w:tmpl w:val="59375C33"/>
    <w:lvl w:ilvl="0">
      <w:start w:val="1"/>
      <w:numFmt w:val="decimal"/>
      <w:suff w:val="nothing"/>
      <w:lvlText w:val="%1."/>
      <w:lvlJc w:val="left"/>
    </w:lvl>
  </w:abstractNum>
  <w:abstractNum w:abstractNumId="5">
    <w:nsid w:val="59375D41"/>
    <w:multiLevelType w:val="singleLevel"/>
    <w:tmpl w:val="59375D41"/>
    <w:lvl w:ilvl="0">
      <w:start w:val="1"/>
      <w:numFmt w:val="decimal"/>
      <w:suff w:val="nothing"/>
      <w:lvlText w:val="%1."/>
      <w:lvlJc w:val="left"/>
    </w:lvl>
  </w:abstractNum>
  <w:abstractNum w:abstractNumId="6">
    <w:nsid w:val="655239CA"/>
    <w:multiLevelType w:val="hybridMultilevel"/>
    <w:tmpl w:val="F45ACDD0"/>
    <w:lvl w:ilvl="0" w:tplc="C2B8870A">
      <w:start w:val="1"/>
      <w:numFmt w:val="decimal"/>
      <w:lvlText w:val="%1、"/>
      <w:lvlJc w:val="left"/>
      <w:pPr>
        <w:ind w:left="780" w:hanging="360"/>
      </w:pPr>
      <w:rPr>
        <w:rFonts w:hAnsi="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6">
      <o:colormenu v:ext="edit" fillcolor="#92d050"/>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3544B"/>
    <w:rsid w:val="0003628E"/>
    <w:rsid w:val="000368B1"/>
    <w:rsid w:val="000417AF"/>
    <w:rsid w:val="0004695D"/>
    <w:rsid w:val="00047B7D"/>
    <w:rsid w:val="00066CC7"/>
    <w:rsid w:val="0008705B"/>
    <w:rsid w:val="000A0FE8"/>
    <w:rsid w:val="000C03E0"/>
    <w:rsid w:val="000C3CF0"/>
    <w:rsid w:val="000C63B7"/>
    <w:rsid w:val="000E539B"/>
    <w:rsid w:val="00104529"/>
    <w:rsid w:val="00124B0C"/>
    <w:rsid w:val="00141323"/>
    <w:rsid w:val="0015545F"/>
    <w:rsid w:val="00164703"/>
    <w:rsid w:val="001673DC"/>
    <w:rsid w:val="00175433"/>
    <w:rsid w:val="001866CC"/>
    <w:rsid w:val="001A0761"/>
    <w:rsid w:val="001A263F"/>
    <w:rsid w:val="001A6604"/>
    <w:rsid w:val="001B43EC"/>
    <w:rsid w:val="001C4CF1"/>
    <w:rsid w:val="001C5171"/>
    <w:rsid w:val="001C7D9E"/>
    <w:rsid w:val="001F1007"/>
    <w:rsid w:val="00233BFF"/>
    <w:rsid w:val="0023427F"/>
    <w:rsid w:val="00242273"/>
    <w:rsid w:val="00266D5D"/>
    <w:rsid w:val="002777BD"/>
    <w:rsid w:val="002A0E6B"/>
    <w:rsid w:val="002A7E61"/>
    <w:rsid w:val="002B1654"/>
    <w:rsid w:val="002C46F4"/>
    <w:rsid w:val="002C667F"/>
    <w:rsid w:val="002D2568"/>
    <w:rsid w:val="0030479C"/>
    <w:rsid w:val="00307AF4"/>
    <w:rsid w:val="00321710"/>
    <w:rsid w:val="003326DA"/>
    <w:rsid w:val="00354AEE"/>
    <w:rsid w:val="003658B7"/>
    <w:rsid w:val="003659C3"/>
    <w:rsid w:val="003851F8"/>
    <w:rsid w:val="00386324"/>
    <w:rsid w:val="003A3E5E"/>
    <w:rsid w:val="003C38F0"/>
    <w:rsid w:val="003C5356"/>
    <w:rsid w:val="003C649C"/>
    <w:rsid w:val="003D5806"/>
    <w:rsid w:val="004050D0"/>
    <w:rsid w:val="00413233"/>
    <w:rsid w:val="00422F73"/>
    <w:rsid w:val="00434681"/>
    <w:rsid w:val="00442DF0"/>
    <w:rsid w:val="00447576"/>
    <w:rsid w:val="00450041"/>
    <w:rsid w:val="004611E0"/>
    <w:rsid w:val="0046783C"/>
    <w:rsid w:val="004749F5"/>
    <w:rsid w:val="004A6847"/>
    <w:rsid w:val="004C3F2B"/>
    <w:rsid w:val="004D1F7E"/>
    <w:rsid w:val="004E0AC3"/>
    <w:rsid w:val="004F035C"/>
    <w:rsid w:val="004F7207"/>
    <w:rsid w:val="005025A6"/>
    <w:rsid w:val="00510FC7"/>
    <w:rsid w:val="00515623"/>
    <w:rsid w:val="00543E06"/>
    <w:rsid w:val="005443B8"/>
    <w:rsid w:val="00553D63"/>
    <w:rsid w:val="00555C71"/>
    <w:rsid w:val="005B0EF3"/>
    <w:rsid w:val="005B1827"/>
    <w:rsid w:val="005B3B42"/>
    <w:rsid w:val="005B43C6"/>
    <w:rsid w:val="005C6DBB"/>
    <w:rsid w:val="005E36FB"/>
    <w:rsid w:val="005F1B88"/>
    <w:rsid w:val="005F5909"/>
    <w:rsid w:val="005F5ABE"/>
    <w:rsid w:val="00604D47"/>
    <w:rsid w:val="00613B25"/>
    <w:rsid w:val="00613D91"/>
    <w:rsid w:val="00622F85"/>
    <w:rsid w:val="0065612E"/>
    <w:rsid w:val="00673DCF"/>
    <w:rsid w:val="00686476"/>
    <w:rsid w:val="00686D17"/>
    <w:rsid w:val="006871D7"/>
    <w:rsid w:val="00691BDB"/>
    <w:rsid w:val="00691D91"/>
    <w:rsid w:val="006A1CCA"/>
    <w:rsid w:val="006A2B09"/>
    <w:rsid w:val="006C00D7"/>
    <w:rsid w:val="006D1842"/>
    <w:rsid w:val="006D2E1D"/>
    <w:rsid w:val="006D64A6"/>
    <w:rsid w:val="006E2A1E"/>
    <w:rsid w:val="006E617B"/>
    <w:rsid w:val="007130A4"/>
    <w:rsid w:val="007159F5"/>
    <w:rsid w:val="00723EDB"/>
    <w:rsid w:val="00731C33"/>
    <w:rsid w:val="0079177F"/>
    <w:rsid w:val="00797E55"/>
    <w:rsid w:val="007C588A"/>
    <w:rsid w:val="007D1899"/>
    <w:rsid w:val="007F49A9"/>
    <w:rsid w:val="0080123E"/>
    <w:rsid w:val="008228DA"/>
    <w:rsid w:val="008306E2"/>
    <w:rsid w:val="008351A8"/>
    <w:rsid w:val="00843B27"/>
    <w:rsid w:val="008527AA"/>
    <w:rsid w:val="00853912"/>
    <w:rsid w:val="008647D3"/>
    <w:rsid w:val="0087035E"/>
    <w:rsid w:val="008722F1"/>
    <w:rsid w:val="00874325"/>
    <w:rsid w:val="008C0818"/>
    <w:rsid w:val="008E34C4"/>
    <w:rsid w:val="008E6F9C"/>
    <w:rsid w:val="008F5A57"/>
    <w:rsid w:val="00904E3D"/>
    <w:rsid w:val="00912B74"/>
    <w:rsid w:val="00921F71"/>
    <w:rsid w:val="009263DA"/>
    <w:rsid w:val="00926AA3"/>
    <w:rsid w:val="00927E66"/>
    <w:rsid w:val="009453AB"/>
    <w:rsid w:val="009714C9"/>
    <w:rsid w:val="00971F3E"/>
    <w:rsid w:val="009910EA"/>
    <w:rsid w:val="00992364"/>
    <w:rsid w:val="0099711F"/>
    <w:rsid w:val="009C223E"/>
    <w:rsid w:val="009C6152"/>
    <w:rsid w:val="009E6088"/>
    <w:rsid w:val="00A13B08"/>
    <w:rsid w:val="00A14052"/>
    <w:rsid w:val="00A409FE"/>
    <w:rsid w:val="00A53825"/>
    <w:rsid w:val="00A56330"/>
    <w:rsid w:val="00A6564D"/>
    <w:rsid w:val="00A67B16"/>
    <w:rsid w:val="00A71531"/>
    <w:rsid w:val="00A717F3"/>
    <w:rsid w:val="00A826F7"/>
    <w:rsid w:val="00A85F5C"/>
    <w:rsid w:val="00A86046"/>
    <w:rsid w:val="00AA40F9"/>
    <w:rsid w:val="00AD165B"/>
    <w:rsid w:val="00AD172A"/>
    <w:rsid w:val="00AD59EA"/>
    <w:rsid w:val="00AE1696"/>
    <w:rsid w:val="00AE3014"/>
    <w:rsid w:val="00B01C24"/>
    <w:rsid w:val="00B02590"/>
    <w:rsid w:val="00B13096"/>
    <w:rsid w:val="00B16A83"/>
    <w:rsid w:val="00B20E32"/>
    <w:rsid w:val="00B22A56"/>
    <w:rsid w:val="00B239B7"/>
    <w:rsid w:val="00B33983"/>
    <w:rsid w:val="00B439D6"/>
    <w:rsid w:val="00B44145"/>
    <w:rsid w:val="00B54156"/>
    <w:rsid w:val="00B57D03"/>
    <w:rsid w:val="00B75E0A"/>
    <w:rsid w:val="00B76C19"/>
    <w:rsid w:val="00B81991"/>
    <w:rsid w:val="00B96A89"/>
    <w:rsid w:val="00B96B0C"/>
    <w:rsid w:val="00B96C50"/>
    <w:rsid w:val="00BA61D5"/>
    <w:rsid w:val="00BB1867"/>
    <w:rsid w:val="00BB2369"/>
    <w:rsid w:val="00BC08AA"/>
    <w:rsid w:val="00BC3DD8"/>
    <w:rsid w:val="00BD2AE3"/>
    <w:rsid w:val="00BE12D5"/>
    <w:rsid w:val="00BF761E"/>
    <w:rsid w:val="00C2621F"/>
    <w:rsid w:val="00C60904"/>
    <w:rsid w:val="00C93E21"/>
    <w:rsid w:val="00C94399"/>
    <w:rsid w:val="00CD55C7"/>
    <w:rsid w:val="00CD6CD4"/>
    <w:rsid w:val="00CD6E21"/>
    <w:rsid w:val="00CE3B8F"/>
    <w:rsid w:val="00CE428E"/>
    <w:rsid w:val="00CE432E"/>
    <w:rsid w:val="00CE5C79"/>
    <w:rsid w:val="00D00D74"/>
    <w:rsid w:val="00D0164D"/>
    <w:rsid w:val="00D41DD6"/>
    <w:rsid w:val="00D6144E"/>
    <w:rsid w:val="00D62D0D"/>
    <w:rsid w:val="00D63F73"/>
    <w:rsid w:val="00D65929"/>
    <w:rsid w:val="00D671DC"/>
    <w:rsid w:val="00D71821"/>
    <w:rsid w:val="00D74765"/>
    <w:rsid w:val="00D8118E"/>
    <w:rsid w:val="00D822F9"/>
    <w:rsid w:val="00D84DA4"/>
    <w:rsid w:val="00D850C7"/>
    <w:rsid w:val="00D96324"/>
    <w:rsid w:val="00DB45F4"/>
    <w:rsid w:val="00DB500D"/>
    <w:rsid w:val="00DC1AE7"/>
    <w:rsid w:val="00DD3F5E"/>
    <w:rsid w:val="00DD4990"/>
    <w:rsid w:val="00DE2769"/>
    <w:rsid w:val="00DF525C"/>
    <w:rsid w:val="00E103BE"/>
    <w:rsid w:val="00E2642D"/>
    <w:rsid w:val="00E34F41"/>
    <w:rsid w:val="00E367A7"/>
    <w:rsid w:val="00E55A36"/>
    <w:rsid w:val="00E65927"/>
    <w:rsid w:val="00E81825"/>
    <w:rsid w:val="00E8776B"/>
    <w:rsid w:val="00E911D0"/>
    <w:rsid w:val="00E949E7"/>
    <w:rsid w:val="00EA757D"/>
    <w:rsid w:val="00EB3558"/>
    <w:rsid w:val="00ED089E"/>
    <w:rsid w:val="00F12E6A"/>
    <w:rsid w:val="00F14853"/>
    <w:rsid w:val="00F21978"/>
    <w:rsid w:val="00F3765C"/>
    <w:rsid w:val="00F50594"/>
    <w:rsid w:val="00F6222F"/>
    <w:rsid w:val="00F62776"/>
    <w:rsid w:val="00F77BD6"/>
    <w:rsid w:val="00F8329B"/>
    <w:rsid w:val="00F90D5E"/>
    <w:rsid w:val="00F94A09"/>
    <w:rsid w:val="00FB075F"/>
    <w:rsid w:val="00FB51A0"/>
    <w:rsid w:val="00FB5D47"/>
    <w:rsid w:val="00FB70F8"/>
    <w:rsid w:val="00FB7152"/>
    <w:rsid w:val="00FC33BD"/>
    <w:rsid w:val="00FC7081"/>
    <w:rsid w:val="00FD7107"/>
    <w:rsid w:val="00FF4D7A"/>
    <w:rsid w:val="00FF6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colormenu v:ext="edit" fillcolor="#92d050"/>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List Paragraph"/>
    <w:basedOn w:val="a"/>
    <w:uiPriority w:val="99"/>
    <w:rsid w:val="00D62D0D"/>
    <w:pPr>
      <w:ind w:firstLineChars="200" w:firstLine="420"/>
    </w:pPr>
  </w:style>
  <w:style w:type="paragraph" w:styleId="a8">
    <w:name w:val="Body Text"/>
    <w:basedOn w:val="a"/>
    <w:link w:val="Char2"/>
    <w:uiPriority w:val="99"/>
    <w:unhideWhenUsed/>
    <w:qFormat/>
    <w:rsid w:val="0079177F"/>
    <w:pPr>
      <w:ind w:firstLineChars="200" w:firstLine="720"/>
    </w:pPr>
  </w:style>
  <w:style w:type="character" w:customStyle="1" w:styleId="Char2">
    <w:name w:val="正文文本 Char"/>
    <w:basedOn w:val="a0"/>
    <w:link w:val="a8"/>
    <w:uiPriority w:val="99"/>
    <w:rsid w:val="0079177F"/>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10</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dcterms:created xsi:type="dcterms:W3CDTF">2022-04-15T09:48:00Z</dcterms:created>
  <dcterms:modified xsi:type="dcterms:W3CDTF">2022-04-20T07:15:00Z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