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98"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eastAsia="zh-CN"/>
              </w:rPr>
            </w:pPr>
            <w:r>
              <w:rPr>
                <w:rFonts w:hint="eastAsia" w:ascii="华文细黑" w:hAnsi="华文细黑" w:eastAsia="华文细黑" w:cs="华文细黑"/>
                <w:sz w:val="21"/>
                <w:szCs w:val="21"/>
              </w:rPr>
              <w:t>受审核部门：</w:t>
            </w:r>
            <w:r>
              <w:rPr>
                <w:rFonts w:hint="eastAsia" w:ascii="华文细黑" w:hAnsi="华文细黑" w:cs="华文细黑"/>
                <w:sz w:val="21"/>
                <w:szCs w:val="21"/>
                <w:lang w:val="en-US" w:eastAsia="zh-CN"/>
              </w:rPr>
              <w:t>销售部</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val="en-US" w:eastAsia="zh-CN"/>
              </w:rPr>
              <w:t>周晓文</w:t>
            </w:r>
            <w:r>
              <w:rPr>
                <w:rFonts w:hint="eastAsia" w:ascii="华文细黑" w:hAnsi="华文细黑" w:eastAsia="华文细黑" w:cs="华文细黑"/>
                <w:sz w:val="21"/>
                <w:szCs w:val="21"/>
              </w:rPr>
              <w:t xml:space="preserve">   陪同人员：</w:t>
            </w:r>
            <w:r>
              <w:rPr>
                <w:rFonts w:hint="eastAsia" w:ascii="华文细黑" w:hAnsi="华文细黑" w:cs="华文细黑"/>
                <w:sz w:val="21"/>
                <w:szCs w:val="21"/>
                <w:lang w:val="en-US" w:eastAsia="zh-CN"/>
              </w:rPr>
              <w:t>/</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rFonts w:hint="eastAsia" w:ascii="华文细黑" w:hAnsi="华文细黑" w:eastAsia="华文细黑" w:cs="华文细黑"/>
                <w:sz w:val="21"/>
                <w:szCs w:val="21"/>
              </w:rPr>
            </w:pPr>
          </w:p>
        </w:tc>
        <w:tc>
          <w:tcPr>
            <w:tcW w:w="998"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王献华</w:t>
            </w:r>
            <w:r>
              <w:rPr>
                <w:rFonts w:hint="eastAsia" w:ascii="华文细黑" w:hAnsi="华文细黑" w:eastAsia="华文细黑" w:cs="华文细黑"/>
                <w:sz w:val="21"/>
                <w:szCs w:val="21"/>
              </w:rPr>
              <w:t xml:space="preserve"> </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审核时间：</w:t>
            </w:r>
            <w:r>
              <w:rPr>
                <w:rFonts w:hint="eastAsia" w:ascii="华文细黑" w:hAnsi="华文细黑" w:eastAsia="华文细黑" w:cs="华文细黑"/>
                <w:sz w:val="21"/>
                <w:szCs w:val="21"/>
                <w:lang w:val="en-US" w:eastAsia="zh-CN"/>
              </w:rPr>
              <w:t>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lang w:val="en-US" w:eastAsia="zh-CN"/>
              </w:rPr>
              <w:t>年</w:t>
            </w:r>
            <w:r>
              <w:rPr>
                <w:rFonts w:hint="eastAsia" w:ascii="华文细黑" w:hAnsi="华文细黑" w:cs="华文细黑"/>
                <w:b w:val="0"/>
                <w:bCs w:val="0"/>
                <w:sz w:val="21"/>
                <w:szCs w:val="21"/>
                <w:lang w:val="en-US" w:eastAsia="zh-CN"/>
              </w:rPr>
              <w:t>7</w:t>
            </w:r>
            <w:r>
              <w:rPr>
                <w:rFonts w:hint="eastAsia" w:ascii="华文细黑" w:hAnsi="华文细黑" w:eastAsia="华文细黑" w:cs="华文细黑"/>
                <w:b w:val="0"/>
                <w:bCs w:val="0"/>
                <w:sz w:val="21"/>
                <w:szCs w:val="21"/>
                <w:lang w:val="en-US" w:eastAsia="zh-CN"/>
              </w:rPr>
              <w:t>月</w:t>
            </w:r>
            <w:r>
              <w:rPr>
                <w:rFonts w:hint="eastAsia" w:ascii="华文细黑" w:hAnsi="华文细黑" w:cs="华文细黑"/>
                <w:sz w:val="21"/>
                <w:szCs w:val="21"/>
                <w:lang w:val="en-US" w:eastAsia="zh-CN"/>
              </w:rPr>
              <w:t>21</w:t>
            </w:r>
            <w:r>
              <w:rPr>
                <w:rFonts w:hint="eastAsia" w:ascii="华文细黑" w:hAnsi="华文细黑" w:eastAsia="华文细黑" w:cs="华文细黑"/>
                <w:sz w:val="21"/>
                <w:szCs w:val="21"/>
                <w:lang w:val="en-US" w:eastAsia="zh-CN"/>
              </w:rPr>
              <w:t>日08:</w:t>
            </w:r>
            <w:r>
              <w:rPr>
                <w:rFonts w:hint="eastAsia" w:ascii="华文细黑" w:hAnsi="华文细黑" w:cs="华文细黑"/>
                <w:sz w:val="21"/>
                <w:szCs w:val="21"/>
                <w:lang w:val="en-US" w:eastAsia="zh-CN"/>
              </w:rPr>
              <w:t>0</w:t>
            </w:r>
            <w:r>
              <w:rPr>
                <w:rFonts w:hint="eastAsia" w:ascii="华文细黑" w:hAnsi="华文细黑" w:eastAsia="华文细黑" w:cs="华文细黑"/>
                <w:sz w:val="21"/>
                <w:szCs w:val="21"/>
              </w:rPr>
              <w:t>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rFonts w:hint="eastAsia" w:ascii="华文细黑" w:hAnsi="华文细黑" w:eastAsia="华文细黑" w:cs="华文细黑"/>
                <w:sz w:val="21"/>
                <w:szCs w:val="21"/>
              </w:rPr>
            </w:pPr>
          </w:p>
        </w:tc>
        <w:tc>
          <w:tcPr>
            <w:tcW w:w="998" w:type="dxa"/>
            <w:vMerge w:val="continue"/>
            <w:vAlign w:val="center"/>
          </w:tcPr>
          <w:p>
            <w:pPr>
              <w:rPr>
                <w:rFonts w:hint="eastAsia" w:ascii="华文细黑" w:hAnsi="华文细黑" w:eastAsia="华文细黑" w:cs="华文细黑"/>
                <w:sz w:val="21"/>
                <w:szCs w:val="21"/>
              </w:rPr>
            </w:pPr>
          </w:p>
        </w:tc>
        <w:tc>
          <w:tcPr>
            <w:tcW w:w="10004" w:type="dxa"/>
            <w:vAlign w:val="center"/>
          </w:tcPr>
          <w:p>
            <w:pPr>
              <w:rPr>
                <w:rFonts w:hint="eastAsia" w:ascii="华文细黑" w:hAnsi="华文细黑" w:eastAsia="华文细黑" w:cs="华文细黑"/>
                <w:b/>
                <w:sz w:val="21"/>
                <w:szCs w:val="21"/>
              </w:rPr>
            </w:pPr>
            <w:r>
              <w:rPr>
                <w:rFonts w:hint="eastAsia" w:ascii="华文细黑" w:hAnsi="华文细黑" w:eastAsia="华文细黑" w:cs="华文细黑"/>
                <w:sz w:val="21"/>
                <w:szCs w:val="21"/>
              </w:rPr>
              <w:t>审核</w:t>
            </w:r>
            <w:r>
              <w:rPr>
                <w:rFonts w:hint="eastAsia" w:ascii="华文细黑" w:hAnsi="华文细黑" w:cs="华文细黑"/>
                <w:sz w:val="21"/>
                <w:szCs w:val="21"/>
                <w:lang w:val="en-US" w:eastAsia="zh-CN"/>
              </w:rPr>
              <w:t>内容</w:t>
            </w:r>
            <w:r>
              <w:rPr>
                <w:rFonts w:hint="eastAsia" w:ascii="华文细黑" w:hAnsi="华文细黑" w:eastAsia="华文细黑" w:cs="华文细黑"/>
                <w:sz w:val="21"/>
                <w:szCs w:val="21"/>
              </w:rPr>
              <w:t>：</w:t>
            </w:r>
            <w:r>
              <w:rPr>
                <w:rFonts w:hint="eastAsia"/>
                <w:sz w:val="21"/>
                <w:szCs w:val="21"/>
                <w:lang w:val="en-US" w:eastAsia="zh-CN"/>
              </w:rPr>
              <w:t>1.部门职能与权限；2.部门目标分解落实情况；3.销售过程控制；4.顾客财产辨识与控制；5.售后服务；6.顾客满意情况监视；7.销售环节环境因素辨识欲控制；8.环保运行控制情况包括对相关方的要求和生命周期后期的环保要求。</w:t>
            </w:r>
          </w:p>
          <w:p>
            <w:pPr>
              <w:spacing w:line="300" w:lineRule="exact"/>
              <w:jc w:val="both"/>
              <w:rPr>
                <w:rFonts w:hint="eastAsia"/>
                <w:sz w:val="21"/>
                <w:szCs w:val="21"/>
                <w:lang w:val="en-US" w:eastAsia="zh-CN"/>
              </w:rPr>
            </w:pPr>
            <w:r>
              <w:rPr>
                <w:rFonts w:hint="eastAsia"/>
                <w:sz w:val="21"/>
                <w:szCs w:val="21"/>
                <w:lang w:val="en-US" w:eastAsia="zh-CN"/>
              </w:rPr>
              <w:t>QE：5.3、6.2</w:t>
            </w:r>
          </w:p>
          <w:p>
            <w:pPr>
              <w:spacing w:line="300" w:lineRule="exact"/>
              <w:jc w:val="both"/>
              <w:rPr>
                <w:rFonts w:hint="default"/>
                <w:sz w:val="21"/>
                <w:szCs w:val="21"/>
                <w:lang w:val="en-US" w:eastAsia="zh-CN"/>
              </w:rPr>
            </w:pPr>
            <w:r>
              <w:rPr>
                <w:rFonts w:hint="eastAsia"/>
                <w:sz w:val="21"/>
                <w:szCs w:val="21"/>
                <w:lang w:val="en-US" w:eastAsia="zh-CN"/>
              </w:rPr>
              <w:t>Q：8.2、8.5.3、8.5.5、9.1.2</w:t>
            </w:r>
          </w:p>
          <w:p>
            <w:pPr>
              <w:spacing w:line="300" w:lineRule="exact"/>
              <w:jc w:val="left"/>
              <w:rPr>
                <w:rFonts w:hint="default" w:ascii="华文细黑" w:hAnsi="华文细黑" w:eastAsia="华文细黑" w:cs="华文细黑"/>
                <w:b/>
                <w:sz w:val="21"/>
                <w:szCs w:val="21"/>
                <w:lang w:val="en-US" w:eastAsia="zh-CN"/>
              </w:rPr>
            </w:pPr>
            <w:r>
              <w:rPr>
                <w:rFonts w:hint="eastAsia"/>
                <w:sz w:val="21"/>
                <w:szCs w:val="21"/>
                <w:lang w:val="en-US" w:eastAsia="zh-CN"/>
              </w:rPr>
              <w:t>E：6.1.2、8.1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lang w:eastAsia="zh-CN"/>
              </w:rPr>
              <w:t>Q</w:t>
            </w:r>
            <w:r>
              <w:rPr>
                <w:rFonts w:hint="eastAsia" w:ascii="华文细黑" w:hAnsi="华文细黑" w:cs="华文细黑"/>
                <w:szCs w:val="21"/>
                <w:lang w:val="en-US" w:eastAsia="zh-CN"/>
              </w:rPr>
              <w:t>E</w:t>
            </w:r>
            <w:r>
              <w:rPr>
                <w:rFonts w:hint="eastAsia" w:ascii="华文细黑" w:hAnsi="华文细黑" w:eastAsia="华文细黑" w:cs="华文细黑"/>
                <w:szCs w:val="21"/>
              </w:rPr>
              <w:t>5.3</w:t>
            </w:r>
          </w:p>
        </w:tc>
        <w:tc>
          <w:tcPr>
            <w:tcW w:w="10004" w:type="dxa"/>
            <w:vAlign w:val="center"/>
          </w:tcPr>
          <w:p>
            <w:pPr>
              <w:spacing w:line="300" w:lineRule="exact"/>
              <w:ind w:firstLine="420" w:firstLineChars="200"/>
              <w:jc w:val="both"/>
              <w:rPr>
                <w:rFonts w:hint="eastAsia"/>
                <w:lang w:val="en-US" w:eastAsia="zh-CN"/>
              </w:rPr>
            </w:pPr>
            <w:r>
              <w:rPr>
                <w:rFonts w:hint="eastAsia"/>
                <w:lang w:val="en-US" w:eastAsia="zh-CN"/>
              </w:rPr>
              <w:t>组织</w:t>
            </w:r>
            <w:r>
              <w:rPr>
                <w:rFonts w:hint="eastAsia"/>
              </w:rPr>
              <w:t>在手册中确定了</w:t>
            </w:r>
            <w:r>
              <w:rPr>
                <w:rFonts w:hint="eastAsia"/>
                <w:lang w:val="en-US" w:eastAsia="zh-CN"/>
              </w:rPr>
              <w:t>销售部的部门</w:t>
            </w:r>
            <w:r>
              <w:rPr>
                <w:rFonts w:hint="eastAsia"/>
              </w:rPr>
              <w:t>职能</w:t>
            </w:r>
            <w:r>
              <w:rPr>
                <w:rFonts w:hint="eastAsia"/>
                <w:lang w:val="en-US" w:eastAsia="zh-CN"/>
              </w:rPr>
              <w:t>如下：</w:t>
            </w:r>
          </w:p>
          <w:p>
            <w:pPr>
              <w:numPr>
                <w:ilvl w:val="0"/>
                <w:numId w:val="1"/>
              </w:num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负责与产品和服务有关的要求的确定；</w:t>
            </w:r>
          </w:p>
          <w:p>
            <w:pPr>
              <w:numPr>
                <w:ilvl w:val="0"/>
                <w:numId w:val="1"/>
              </w:num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公司编制合同文件及时与顾客联系等；</w:t>
            </w:r>
          </w:p>
          <w:p>
            <w:pPr>
              <w:spacing w:line="280" w:lineRule="exact"/>
              <w:ind w:firstLine="420" w:firstLineChars="200"/>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、负责与产品和服务有关的要求的评审等；</w:t>
            </w:r>
          </w:p>
          <w:p>
            <w:pPr>
              <w:spacing w:line="280" w:lineRule="exact"/>
              <w:ind w:firstLine="420" w:firstLineChars="200"/>
              <w:rPr>
                <w:rFonts w:hint="eastAsia" w:ascii="Times New Roman" w:hAnsi="Times New Roman" w:cs="Times New Roman"/>
                <w:lang w:val="en-US" w:eastAsia="zh-CN"/>
              </w:rPr>
            </w:pPr>
            <w:r>
              <w:rPr>
                <w:rFonts w:hint="eastAsia" w:cs="Times New Roman"/>
                <w:lang w:val="en-US" w:eastAsia="zh-CN"/>
              </w:rPr>
              <w:t>4</w:t>
            </w:r>
            <w:r>
              <w:rPr>
                <w:rFonts w:hint="eastAsia" w:ascii="Times New Roman" w:hAnsi="Times New Roman" w:cs="Times New Roman"/>
                <w:lang w:val="en-US" w:eastAsia="zh-CN"/>
              </w:rPr>
              <w:t>、负责市场调查，信息收集、顾客满意度调查、售后服务工作等。</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val="en-US" w:eastAsia="zh-CN"/>
              </w:rPr>
              <w:t>销售部周晓文</w:t>
            </w:r>
            <w:r>
              <w:rPr>
                <w:rFonts w:hint="eastAsia" w:ascii="宋体" w:hAnsi="宋体" w:cs="宋体"/>
                <w:szCs w:val="21"/>
              </w:rPr>
              <w:t>，基本清楚</w:t>
            </w:r>
            <w:r>
              <w:rPr>
                <w:rFonts w:hint="eastAsia" w:ascii="宋体" w:hAnsi="宋体" w:cs="宋体"/>
                <w:szCs w:val="21"/>
                <w:lang w:val="en-US" w:eastAsia="zh-CN"/>
              </w:rPr>
              <w:t>其</w:t>
            </w:r>
            <w:r>
              <w:rPr>
                <w:rFonts w:hint="eastAsia" w:ascii="宋体" w:hAnsi="宋体" w:cs="宋体"/>
                <w:szCs w:val="21"/>
              </w:rPr>
              <w:t>部门职责。</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管理目标及其实现的策划</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lang w:eastAsia="zh-CN"/>
              </w:rPr>
              <w:t>Q</w:t>
            </w:r>
            <w:r>
              <w:rPr>
                <w:rFonts w:hint="eastAsia" w:ascii="华文细黑" w:hAnsi="华文细黑" w:cs="华文细黑"/>
                <w:szCs w:val="21"/>
                <w:lang w:val="en-US" w:eastAsia="zh-CN"/>
              </w:rPr>
              <w:t>E</w:t>
            </w:r>
            <w:r>
              <w:rPr>
                <w:rFonts w:hint="eastAsia" w:ascii="华文细黑" w:hAnsi="华文细黑" w:eastAsia="华文细黑" w:cs="华文细黑"/>
                <w:szCs w:val="21"/>
              </w:rPr>
              <w:t>6.2</w:t>
            </w:r>
          </w:p>
          <w:p>
            <w:pPr>
              <w:spacing w:line="280" w:lineRule="exact"/>
              <w:rPr>
                <w:rFonts w:hint="eastAsia" w:ascii="华文细黑" w:hAnsi="华文细黑" w:eastAsia="华文细黑" w:cs="华文细黑"/>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宋体"/>
                <w:szCs w:val="21"/>
              </w:rPr>
            </w:pPr>
            <w:r>
              <w:rPr>
                <w:rFonts w:hint="eastAsia" w:ascii="宋体" w:hAnsi="宋体" w:cs="宋体"/>
                <w:szCs w:val="21"/>
                <w:lang w:val="en-US" w:eastAsia="zh-CN"/>
              </w:rPr>
              <w:t>销售部</w:t>
            </w:r>
            <w:r>
              <w:rPr>
                <w:rFonts w:hint="eastAsia" w:ascii="宋体" w:hAnsi="宋体" w:cs="宋体"/>
                <w:szCs w:val="21"/>
              </w:rPr>
              <w:t>涉及的目标及实现情况</w:t>
            </w:r>
            <w:r>
              <w:rPr>
                <w:rFonts w:hint="eastAsia" w:ascii="宋体" w:hAnsi="宋体" w:cs="宋体"/>
                <w:szCs w:val="21"/>
                <w:lang w:val="en-US" w:eastAsia="zh-CN"/>
              </w:rPr>
              <w:t>如下</w:t>
            </w:r>
            <w:r>
              <w:rPr>
                <w:rFonts w:hint="eastAsia" w:ascii="宋体" w:hAnsi="宋体" w:cs="宋体"/>
                <w:szCs w:val="21"/>
              </w:rPr>
              <w:t>：</w:t>
            </w:r>
          </w:p>
          <w:p>
            <w:pPr>
              <w:jc w:val="left"/>
              <w:rPr>
                <w:rFonts w:hint="eastAsia" w:ascii="宋体" w:hAnsi="宋体" w:cs="宋体"/>
                <w:szCs w:val="21"/>
              </w:rPr>
            </w:pPr>
            <w:r>
              <w:drawing>
                <wp:inline distT="0" distB="0" distL="114300" distR="114300">
                  <wp:extent cx="6064250" cy="10922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064250" cy="1092200"/>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目标可测量，与方针一致。</w:t>
            </w:r>
            <w:r>
              <w:rPr>
                <w:rFonts w:hint="eastAsia" w:ascii="宋体" w:hAnsi="宋体" w:cs="宋体"/>
                <w:color w:val="auto"/>
                <w:szCs w:val="21"/>
                <w:lang w:val="en-US" w:eastAsia="zh-CN"/>
              </w:rPr>
              <w:t>抽查2021年7月至审核期间截止的目标分解落实考核结果表明：</w:t>
            </w:r>
            <w:r>
              <w:rPr>
                <w:rFonts w:hint="eastAsia" w:ascii="宋体" w:hAnsi="宋体" w:cs="宋体"/>
                <w:szCs w:val="21"/>
                <w:lang w:val="en-US" w:eastAsia="zh-CN"/>
              </w:rPr>
              <w:t>销售部的目标有按要求完成。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 w:val="21"/>
                <w:szCs w:val="21"/>
              </w:rPr>
              <w:t>产品和服务的要求</w:t>
            </w:r>
          </w:p>
        </w:tc>
        <w:tc>
          <w:tcPr>
            <w:tcW w:w="998"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color w:val="000000"/>
                <w:kern w:val="0"/>
                <w:szCs w:val="21"/>
              </w:rPr>
              <w:t>Q</w:t>
            </w:r>
            <w:r>
              <w:rPr>
                <w:rFonts w:hint="eastAsia" w:ascii="华文细黑" w:hAnsi="华文细黑" w:eastAsia="华文细黑" w:cs="华文细黑"/>
                <w:color w:val="000000"/>
                <w:kern w:val="0"/>
                <w:szCs w:val="21"/>
                <w:lang w:val="en-US" w:eastAsia="zh-CN"/>
              </w:rPr>
              <w:t>8.2</w:t>
            </w:r>
          </w:p>
        </w:tc>
        <w:tc>
          <w:tcPr>
            <w:tcW w:w="10004" w:type="dxa"/>
            <w:vAlign w:val="center"/>
          </w:tcPr>
          <w:p>
            <w:pPr>
              <w:spacing w:line="280" w:lineRule="exact"/>
              <w:ind w:firstLine="420" w:firstLineChars="200"/>
              <w:rPr>
                <w:color w:val="auto"/>
                <w:szCs w:val="21"/>
              </w:rPr>
            </w:pPr>
            <w:r>
              <w:rPr>
                <w:rFonts w:hint="eastAsia"/>
                <w:color w:val="auto"/>
                <w:szCs w:val="21"/>
                <w:lang w:val="en-US" w:eastAsia="zh-CN"/>
              </w:rPr>
              <w:t>组织主要承接实木复合地板代加工生产业务。</w:t>
            </w:r>
            <w:r>
              <w:rPr>
                <w:rFonts w:hint="eastAsia"/>
                <w:color w:val="auto"/>
                <w:szCs w:val="21"/>
              </w:rPr>
              <w:t>承接业务的方式主要是：</w:t>
            </w:r>
            <w:r>
              <w:rPr>
                <w:rFonts w:hint="eastAsia"/>
                <w:color w:val="auto"/>
                <w:szCs w:val="21"/>
                <w:lang w:val="en-US" w:eastAsia="zh-CN"/>
              </w:rPr>
              <w:t>通过长期合作</w:t>
            </w:r>
            <w:r>
              <w:rPr>
                <w:rFonts w:hint="eastAsia"/>
                <w:color w:val="auto"/>
                <w:szCs w:val="21"/>
              </w:rPr>
              <w:t>顾客</w:t>
            </w:r>
            <w:r>
              <w:rPr>
                <w:rFonts w:hint="eastAsia"/>
                <w:color w:val="auto"/>
                <w:szCs w:val="21"/>
                <w:lang w:val="en-US" w:eastAsia="zh-CN"/>
              </w:rPr>
              <w:t>订单</w:t>
            </w:r>
            <w:r>
              <w:rPr>
                <w:rFonts w:hint="eastAsia"/>
                <w:color w:val="auto"/>
                <w:szCs w:val="21"/>
              </w:rPr>
              <w:t>要求组织</w:t>
            </w:r>
            <w:r>
              <w:rPr>
                <w:rFonts w:hint="eastAsia"/>
                <w:color w:val="auto"/>
                <w:szCs w:val="21"/>
                <w:lang w:val="en-US" w:eastAsia="zh-CN"/>
              </w:rPr>
              <w:t>生产</w:t>
            </w:r>
            <w:r>
              <w:rPr>
                <w:rFonts w:hint="eastAsia"/>
                <w:color w:val="auto"/>
                <w:szCs w:val="21"/>
              </w:rPr>
              <w:t>，并以</w:t>
            </w:r>
            <w:r>
              <w:rPr>
                <w:rFonts w:hint="eastAsia"/>
                <w:color w:val="auto"/>
                <w:szCs w:val="21"/>
                <w:lang w:val="en-US" w:eastAsia="zh-CN"/>
              </w:rPr>
              <w:t>电话、APP、</w:t>
            </w:r>
            <w:r>
              <w:rPr>
                <w:rFonts w:hint="eastAsia"/>
                <w:color w:val="auto"/>
                <w:szCs w:val="21"/>
              </w:rPr>
              <w:t>传真等方式进行沟通、确认，对</w:t>
            </w:r>
            <w:r>
              <w:rPr>
                <w:rFonts w:hint="eastAsia"/>
                <w:color w:val="auto"/>
                <w:szCs w:val="21"/>
                <w:lang w:val="en-US" w:eastAsia="zh-CN"/>
              </w:rPr>
              <w:t>产品</w:t>
            </w:r>
            <w:r>
              <w:rPr>
                <w:rFonts w:hint="eastAsia"/>
                <w:color w:val="auto"/>
                <w:szCs w:val="21"/>
              </w:rPr>
              <w:t>要求等给予明确</w:t>
            </w:r>
            <w:r>
              <w:rPr>
                <w:rFonts w:hint="eastAsia"/>
                <w:color w:val="auto"/>
                <w:szCs w:val="21"/>
                <w:lang w:eastAsia="zh-CN"/>
              </w:rPr>
              <w:t>。</w:t>
            </w:r>
            <w:r>
              <w:rPr>
                <w:rFonts w:hint="eastAsia"/>
                <w:color w:val="auto"/>
                <w:szCs w:val="21"/>
                <w:lang w:val="en-US" w:eastAsia="zh-CN"/>
              </w:rPr>
              <w:t>组织识别产品和服务的要求主要来源于：1.</w:t>
            </w:r>
            <w:r>
              <w:rPr>
                <w:rFonts w:hint="eastAsia"/>
                <w:color w:val="auto"/>
                <w:szCs w:val="21"/>
              </w:rPr>
              <w:t>顾客明确规定的要求</w:t>
            </w:r>
            <w:r>
              <w:rPr>
                <w:rFonts w:hint="eastAsia"/>
                <w:color w:val="auto"/>
                <w:szCs w:val="21"/>
                <w:lang w:eastAsia="zh-CN"/>
              </w:rPr>
              <w:t>，</w:t>
            </w:r>
            <w:r>
              <w:rPr>
                <w:rFonts w:hint="eastAsia"/>
                <w:color w:val="auto"/>
                <w:szCs w:val="21"/>
              </w:rPr>
              <w:t>即有</w:t>
            </w:r>
            <w:r>
              <w:rPr>
                <w:rFonts w:hint="eastAsia"/>
                <w:color w:val="auto"/>
                <w:szCs w:val="21"/>
                <w:lang w:val="en-US" w:eastAsia="zh-CN"/>
              </w:rPr>
              <w:t>产品本身</w:t>
            </w:r>
            <w:r>
              <w:rPr>
                <w:rFonts w:hint="eastAsia"/>
                <w:color w:val="auto"/>
                <w:szCs w:val="21"/>
              </w:rPr>
              <w:t>的质量要求也包括后续活动的要求</w:t>
            </w:r>
            <w:r>
              <w:rPr>
                <w:rFonts w:hint="eastAsia"/>
                <w:color w:val="auto"/>
                <w:szCs w:val="21"/>
                <w:lang w:eastAsia="zh-CN"/>
              </w:rPr>
              <w:t>；</w:t>
            </w:r>
            <w:r>
              <w:rPr>
                <w:rFonts w:hint="eastAsia"/>
                <w:color w:val="auto"/>
                <w:szCs w:val="21"/>
                <w:lang w:val="en-US" w:eastAsia="zh-CN"/>
              </w:rPr>
              <w:t>2.</w:t>
            </w:r>
            <w:r>
              <w:rPr>
                <w:rFonts w:hint="eastAsia"/>
                <w:color w:val="auto"/>
                <w:szCs w:val="21"/>
              </w:rPr>
              <w:t>顾客没有明确规定，但</w:t>
            </w:r>
            <w:r>
              <w:rPr>
                <w:rFonts w:hint="eastAsia"/>
                <w:color w:val="auto"/>
                <w:szCs w:val="21"/>
                <w:lang w:val="en-US" w:eastAsia="zh-CN"/>
              </w:rPr>
              <w:t>产品</w:t>
            </w:r>
            <w:r>
              <w:rPr>
                <w:rFonts w:hint="eastAsia"/>
                <w:color w:val="auto"/>
                <w:szCs w:val="21"/>
              </w:rPr>
              <w:t>预期或规定用途所必要的要求</w:t>
            </w:r>
            <w:r>
              <w:rPr>
                <w:rFonts w:hint="eastAsia"/>
                <w:color w:val="auto"/>
                <w:szCs w:val="21"/>
                <w:lang w:val="en-US" w:eastAsia="zh-CN"/>
              </w:rPr>
              <w:t>3.</w:t>
            </w:r>
            <w:r>
              <w:rPr>
                <w:rFonts w:hint="eastAsia"/>
                <w:color w:val="auto"/>
                <w:szCs w:val="21"/>
              </w:rPr>
              <w:t>与</w:t>
            </w:r>
            <w:r>
              <w:rPr>
                <w:rFonts w:hint="eastAsia"/>
                <w:color w:val="auto"/>
                <w:szCs w:val="21"/>
                <w:lang w:val="en-US" w:eastAsia="zh-CN"/>
              </w:rPr>
              <w:t>产品</w:t>
            </w:r>
            <w:r>
              <w:rPr>
                <w:rFonts w:hint="eastAsia"/>
                <w:color w:val="auto"/>
                <w:szCs w:val="21"/>
              </w:rPr>
              <w:t>有关的法律法规的要求及</w:t>
            </w:r>
            <w:r>
              <w:rPr>
                <w:rFonts w:hint="eastAsia"/>
                <w:color w:val="auto"/>
                <w:szCs w:val="21"/>
                <w:lang w:val="en-US" w:eastAsia="zh-CN"/>
              </w:rPr>
              <w:t>组织</w:t>
            </w:r>
            <w:r>
              <w:rPr>
                <w:rFonts w:hint="eastAsia"/>
                <w:color w:val="auto"/>
                <w:szCs w:val="21"/>
              </w:rPr>
              <w:t>附加的对顾客的责任</w:t>
            </w:r>
            <w:r>
              <w:rPr>
                <w:rFonts w:hint="eastAsia"/>
                <w:color w:val="auto"/>
                <w:szCs w:val="21"/>
                <w:lang w:val="en-US" w:eastAsia="zh-CN"/>
              </w:rPr>
              <w:t>要求等</w:t>
            </w:r>
            <w:r>
              <w:rPr>
                <w:rFonts w:hint="eastAsia"/>
                <w:color w:val="auto"/>
                <w:szCs w:val="21"/>
              </w:rPr>
              <w:t>。</w:t>
            </w:r>
          </w:p>
          <w:p>
            <w:pPr>
              <w:spacing w:line="280" w:lineRule="exact"/>
              <w:ind w:firstLine="420" w:firstLineChars="200"/>
              <w:rPr>
                <w:rFonts w:hint="eastAsia" w:eastAsia="华文细黑"/>
                <w:color w:val="auto"/>
                <w:szCs w:val="21"/>
                <w:lang w:eastAsia="zh-CN"/>
              </w:rPr>
            </w:pPr>
            <w:r>
              <w:rPr>
                <w:rFonts w:hint="eastAsia"/>
                <w:color w:val="auto"/>
                <w:szCs w:val="21"/>
                <w:lang w:val="en-US" w:eastAsia="zh-CN"/>
              </w:rPr>
              <w:t>组织实木复合地板</w:t>
            </w:r>
            <w:r>
              <w:rPr>
                <w:rFonts w:hint="eastAsia"/>
                <w:color w:val="auto"/>
                <w:szCs w:val="21"/>
              </w:rPr>
              <w:t>等的销售服务已</w:t>
            </w:r>
            <w:r>
              <w:rPr>
                <w:rFonts w:hint="eastAsia"/>
                <w:color w:val="auto"/>
                <w:szCs w:val="21"/>
                <w:lang w:val="en-US" w:eastAsia="zh-CN"/>
              </w:rPr>
              <w:t>成型</w:t>
            </w:r>
            <w:r>
              <w:rPr>
                <w:rFonts w:hint="eastAsia"/>
                <w:color w:val="auto"/>
                <w:szCs w:val="21"/>
              </w:rPr>
              <w:t>，收到</w:t>
            </w:r>
            <w:r>
              <w:rPr>
                <w:rFonts w:hint="eastAsia"/>
                <w:color w:val="auto"/>
                <w:szCs w:val="21"/>
                <w:lang w:val="en-US" w:eastAsia="zh-CN"/>
              </w:rPr>
              <w:t>订单</w:t>
            </w:r>
            <w:r>
              <w:rPr>
                <w:rFonts w:hint="eastAsia"/>
                <w:color w:val="auto"/>
                <w:szCs w:val="21"/>
              </w:rPr>
              <w:t>后在</w:t>
            </w:r>
            <w:r>
              <w:rPr>
                <w:rFonts w:hint="eastAsia"/>
                <w:color w:val="auto"/>
                <w:szCs w:val="21"/>
                <w:lang w:val="en-US" w:eastAsia="zh-CN"/>
              </w:rPr>
              <w:t>组织</w:t>
            </w:r>
            <w:r>
              <w:rPr>
                <w:rFonts w:hint="eastAsia"/>
                <w:color w:val="auto"/>
                <w:szCs w:val="21"/>
              </w:rPr>
              <w:t>内评审，没有异议后</w:t>
            </w:r>
            <w:r>
              <w:rPr>
                <w:rFonts w:hint="eastAsia"/>
                <w:color w:val="auto"/>
                <w:szCs w:val="21"/>
                <w:lang w:val="en-US" w:eastAsia="zh-CN"/>
              </w:rPr>
              <w:t>同意生产</w:t>
            </w:r>
            <w:r>
              <w:rPr>
                <w:rFonts w:hint="eastAsia"/>
                <w:color w:val="auto"/>
                <w:szCs w:val="21"/>
              </w:rPr>
              <w:t>即</w:t>
            </w:r>
            <w:r>
              <w:rPr>
                <w:rFonts w:hint="eastAsia"/>
                <w:color w:val="auto"/>
                <w:szCs w:val="21"/>
                <w:lang w:val="en-US" w:eastAsia="zh-CN"/>
              </w:rPr>
              <w:t>代表</w:t>
            </w:r>
            <w:r>
              <w:rPr>
                <w:rFonts w:hint="eastAsia"/>
                <w:color w:val="auto"/>
                <w:szCs w:val="21"/>
              </w:rPr>
              <w:t>完成合同评审</w:t>
            </w:r>
            <w:r>
              <w:rPr>
                <w:rFonts w:hint="eastAsia"/>
                <w:color w:val="auto"/>
                <w:szCs w:val="21"/>
                <w:lang w:eastAsia="zh-CN"/>
              </w:rPr>
              <w:t>。</w:t>
            </w:r>
          </w:p>
          <w:p>
            <w:pPr>
              <w:spacing w:line="280" w:lineRule="exact"/>
              <w:ind w:firstLine="420" w:firstLineChars="200"/>
              <w:rPr>
                <w:color w:val="auto"/>
                <w:szCs w:val="21"/>
                <w:shd w:val="clear" w:color="auto" w:fill="auto"/>
              </w:rPr>
            </w:pPr>
            <w:r>
              <w:rPr>
                <w:rFonts w:hint="eastAsia"/>
                <w:color w:val="auto"/>
                <w:szCs w:val="21"/>
                <w:shd w:val="clear" w:color="auto" w:fill="auto"/>
                <w:lang w:val="en-US" w:eastAsia="zh-CN"/>
              </w:rPr>
              <w:t>抽查2022.6.7江苏肯帝亚木业有限公司的橡木地板订购单</w:t>
            </w:r>
            <w:r>
              <w:rPr>
                <w:rFonts w:hint="eastAsia"/>
                <w:color w:val="auto"/>
                <w:szCs w:val="21"/>
                <w:shd w:val="clear" w:color="auto" w:fill="auto"/>
                <w:lang w:eastAsia="zh-CN"/>
              </w:rPr>
              <w:t>：</w:t>
            </w:r>
            <w:r>
              <w:rPr>
                <w:rFonts w:hint="eastAsia"/>
                <w:color w:val="auto"/>
                <w:szCs w:val="21"/>
                <w:shd w:val="clear" w:color="auto" w:fill="auto"/>
                <w:lang w:val="en-US" w:eastAsia="zh-CN"/>
              </w:rPr>
              <w:t>订单</w:t>
            </w:r>
            <w:r>
              <w:rPr>
                <w:rFonts w:hint="eastAsia"/>
                <w:color w:val="auto"/>
                <w:szCs w:val="21"/>
                <w:shd w:val="clear" w:color="auto" w:fill="auto"/>
              </w:rPr>
              <w:t>规定了产品名称、</w:t>
            </w:r>
            <w:r>
              <w:rPr>
                <w:rFonts w:hint="eastAsia"/>
                <w:color w:val="auto"/>
                <w:szCs w:val="21"/>
                <w:shd w:val="clear" w:color="auto" w:fill="auto"/>
                <w:lang w:val="en-US" w:eastAsia="zh-CN"/>
              </w:rPr>
              <w:t>规格、</w:t>
            </w:r>
            <w:r>
              <w:rPr>
                <w:rFonts w:hint="eastAsia"/>
                <w:color w:val="auto"/>
                <w:szCs w:val="21"/>
                <w:shd w:val="clear" w:color="auto" w:fill="auto"/>
              </w:rPr>
              <w:t>数量（按买方实际生产需求供应）、单价</w:t>
            </w:r>
            <w:r>
              <w:rPr>
                <w:rFonts w:hint="eastAsia"/>
                <w:color w:val="auto"/>
                <w:szCs w:val="21"/>
                <w:shd w:val="clear" w:color="auto" w:fill="auto"/>
                <w:lang w:eastAsia="zh-CN"/>
              </w:rPr>
              <w:t>、</w:t>
            </w:r>
            <w:r>
              <w:rPr>
                <w:rFonts w:hint="eastAsia"/>
                <w:color w:val="auto"/>
                <w:szCs w:val="21"/>
                <w:shd w:val="clear" w:color="auto" w:fill="auto"/>
                <w:lang w:val="en-US" w:eastAsia="zh-CN"/>
              </w:rPr>
              <w:t>生产工艺及注意事项等</w:t>
            </w:r>
            <w:r>
              <w:rPr>
                <w:rFonts w:hint="eastAsia"/>
                <w:color w:val="auto"/>
                <w:szCs w:val="21"/>
                <w:shd w:val="clear" w:color="auto" w:fill="auto"/>
              </w:rPr>
              <w:t>，要求明确</w:t>
            </w:r>
            <w:r>
              <w:rPr>
                <w:rFonts w:hint="eastAsia"/>
                <w:color w:val="auto"/>
                <w:szCs w:val="21"/>
                <w:shd w:val="clear" w:color="auto" w:fill="auto"/>
                <w:lang w:eastAsia="zh-CN"/>
              </w:rPr>
              <w:t>，</w:t>
            </w:r>
            <w:r>
              <w:rPr>
                <w:rFonts w:hint="eastAsia"/>
                <w:color w:val="auto"/>
                <w:szCs w:val="21"/>
                <w:shd w:val="clear" w:color="auto" w:fill="auto"/>
                <w:lang w:val="en-US" w:eastAsia="zh-CN"/>
              </w:rPr>
              <w:t>有顾客采购签字确认</w:t>
            </w:r>
            <w:r>
              <w:rPr>
                <w:rFonts w:hint="eastAsia"/>
                <w:color w:val="auto"/>
                <w:szCs w:val="21"/>
                <w:shd w:val="clear" w:color="auto" w:fill="auto"/>
              </w:rPr>
              <w:t>。</w:t>
            </w:r>
          </w:p>
          <w:p>
            <w:pPr>
              <w:spacing w:line="280" w:lineRule="exact"/>
              <w:ind w:firstLine="420" w:firstLineChars="200"/>
              <w:rPr>
                <w:rFonts w:hint="eastAsia"/>
                <w:color w:val="auto"/>
                <w:szCs w:val="21"/>
                <w:shd w:val="clear" w:color="auto" w:fill="auto"/>
              </w:rPr>
            </w:pPr>
            <w:r>
              <w:rPr>
                <w:rFonts w:hint="eastAsia"/>
                <w:color w:val="auto"/>
                <w:szCs w:val="21"/>
                <w:lang w:val="en-US" w:eastAsia="zh-CN"/>
              </w:rPr>
              <w:t>抽查</w:t>
            </w:r>
            <w:r>
              <w:rPr>
                <w:rFonts w:hint="eastAsia"/>
                <w:color w:val="auto"/>
                <w:szCs w:val="21"/>
              </w:rPr>
              <w:t>202</w:t>
            </w:r>
            <w:r>
              <w:rPr>
                <w:rFonts w:hint="eastAsia"/>
                <w:color w:val="auto"/>
                <w:szCs w:val="21"/>
                <w:lang w:val="en-US" w:eastAsia="zh-CN"/>
              </w:rPr>
              <w:t>2</w:t>
            </w:r>
            <w:r>
              <w:rPr>
                <w:color w:val="auto"/>
                <w:szCs w:val="21"/>
              </w:rPr>
              <w:t>.</w:t>
            </w:r>
            <w:r>
              <w:rPr>
                <w:rFonts w:hint="eastAsia"/>
                <w:color w:val="auto"/>
                <w:szCs w:val="21"/>
                <w:lang w:val="en-US" w:eastAsia="zh-CN"/>
              </w:rPr>
              <w:t>7</w:t>
            </w:r>
            <w:r>
              <w:rPr>
                <w:color w:val="auto"/>
                <w:szCs w:val="21"/>
              </w:rPr>
              <w:t>.</w:t>
            </w:r>
            <w:r>
              <w:rPr>
                <w:rFonts w:hint="eastAsia"/>
                <w:color w:val="auto"/>
                <w:szCs w:val="21"/>
                <w:lang w:val="en-US" w:eastAsia="zh-CN"/>
              </w:rPr>
              <w:t>8佛山大自然绿客科技有限</w:t>
            </w:r>
            <w:r>
              <w:rPr>
                <w:rFonts w:hint="eastAsia"/>
                <w:color w:val="auto"/>
                <w:szCs w:val="21"/>
              </w:rPr>
              <w:t>公司</w:t>
            </w:r>
            <w:r>
              <w:rPr>
                <w:rFonts w:hint="eastAsia"/>
                <w:color w:val="auto"/>
                <w:szCs w:val="21"/>
                <w:lang w:eastAsia="zh-CN"/>
              </w:rPr>
              <w:t>的</w:t>
            </w:r>
            <w:r>
              <w:rPr>
                <w:rFonts w:hint="eastAsia"/>
                <w:color w:val="auto"/>
                <w:szCs w:val="21"/>
                <w:lang w:val="en-US" w:eastAsia="zh-CN"/>
              </w:rPr>
              <w:t>多层实木地板采购订单</w:t>
            </w:r>
            <w:r>
              <w:rPr>
                <w:rFonts w:hint="eastAsia"/>
                <w:color w:val="auto"/>
                <w:szCs w:val="21"/>
                <w:lang w:eastAsia="zh-CN"/>
              </w:rPr>
              <w:t>：</w:t>
            </w:r>
            <w:r>
              <w:rPr>
                <w:rFonts w:hint="eastAsia"/>
                <w:color w:val="auto"/>
                <w:szCs w:val="21"/>
              </w:rPr>
              <w:t>合同规定了产品名称、规格型号、数量、价格、</w:t>
            </w:r>
            <w:r>
              <w:rPr>
                <w:rFonts w:hint="eastAsia"/>
                <w:color w:val="auto"/>
                <w:szCs w:val="21"/>
                <w:lang w:val="en-US" w:eastAsia="zh-CN"/>
              </w:rPr>
              <w:t>以及备注的技术性</w:t>
            </w:r>
            <w:r>
              <w:rPr>
                <w:rFonts w:hint="eastAsia"/>
                <w:color w:val="auto"/>
                <w:szCs w:val="21"/>
              </w:rPr>
              <w:t>条款</w:t>
            </w:r>
            <w:r>
              <w:rPr>
                <w:rFonts w:hint="eastAsia"/>
                <w:color w:val="auto"/>
                <w:szCs w:val="21"/>
                <w:lang w:val="en-US" w:eastAsia="zh-CN"/>
              </w:rPr>
              <w:t>等</w:t>
            </w:r>
            <w:r>
              <w:rPr>
                <w:rFonts w:hint="eastAsia"/>
                <w:color w:val="auto"/>
                <w:szCs w:val="21"/>
              </w:rPr>
              <w:t>，要求明确，</w:t>
            </w:r>
            <w:r>
              <w:rPr>
                <w:rFonts w:hint="eastAsia"/>
                <w:color w:val="auto"/>
                <w:szCs w:val="21"/>
                <w:shd w:val="clear" w:color="auto" w:fill="auto"/>
                <w:lang w:val="en-US" w:eastAsia="zh-CN"/>
              </w:rPr>
              <w:t>有顾客采购签字确认</w:t>
            </w:r>
            <w:r>
              <w:rPr>
                <w:rFonts w:hint="eastAsia"/>
                <w:color w:val="auto"/>
                <w:szCs w:val="21"/>
                <w:shd w:val="clear" w:color="auto" w:fill="auto"/>
              </w:rPr>
              <w:t>。</w:t>
            </w:r>
          </w:p>
          <w:p>
            <w:pPr>
              <w:spacing w:line="280" w:lineRule="exact"/>
              <w:ind w:firstLine="420" w:firstLineChars="200"/>
              <w:rPr>
                <w:rFonts w:hint="eastAsia"/>
                <w:color w:val="auto"/>
                <w:szCs w:val="21"/>
              </w:rPr>
            </w:pPr>
            <w:r>
              <w:rPr>
                <w:rFonts w:hint="eastAsia"/>
                <w:color w:val="auto"/>
                <w:szCs w:val="21"/>
                <w:lang w:val="en-US" w:eastAsia="zh-CN"/>
              </w:rPr>
              <w:t>抽查</w:t>
            </w:r>
            <w:r>
              <w:rPr>
                <w:rFonts w:hint="eastAsia"/>
                <w:color w:val="auto"/>
                <w:szCs w:val="21"/>
              </w:rPr>
              <w:t>202</w:t>
            </w:r>
            <w:r>
              <w:rPr>
                <w:rFonts w:hint="eastAsia"/>
                <w:color w:val="auto"/>
                <w:szCs w:val="21"/>
                <w:lang w:val="en-US" w:eastAsia="zh-CN"/>
              </w:rPr>
              <w:t>2</w:t>
            </w:r>
            <w:r>
              <w:rPr>
                <w:color w:val="auto"/>
                <w:szCs w:val="21"/>
              </w:rPr>
              <w:t>.</w:t>
            </w:r>
            <w:r>
              <w:rPr>
                <w:rFonts w:hint="eastAsia"/>
                <w:color w:val="auto"/>
                <w:szCs w:val="21"/>
                <w:lang w:val="en-US" w:eastAsia="zh-CN"/>
              </w:rPr>
              <w:t>5</w:t>
            </w:r>
            <w:r>
              <w:rPr>
                <w:color w:val="auto"/>
                <w:szCs w:val="21"/>
              </w:rPr>
              <w:t>.</w:t>
            </w:r>
            <w:r>
              <w:rPr>
                <w:rFonts w:hint="eastAsia"/>
                <w:color w:val="auto"/>
                <w:szCs w:val="21"/>
                <w:lang w:val="en-US" w:eastAsia="zh-CN"/>
              </w:rPr>
              <w:t>10佛山和邦盛世有限</w:t>
            </w:r>
            <w:r>
              <w:rPr>
                <w:rFonts w:hint="eastAsia"/>
                <w:color w:val="auto"/>
                <w:szCs w:val="21"/>
              </w:rPr>
              <w:t>公司</w:t>
            </w:r>
            <w:r>
              <w:rPr>
                <w:rFonts w:hint="eastAsia"/>
                <w:color w:val="auto"/>
                <w:szCs w:val="21"/>
                <w:lang w:eastAsia="zh-CN"/>
              </w:rPr>
              <w:t>的</w:t>
            </w:r>
            <w:r>
              <w:rPr>
                <w:rFonts w:hint="eastAsia"/>
                <w:color w:val="auto"/>
                <w:szCs w:val="21"/>
                <w:lang w:val="en-US" w:eastAsia="zh-CN"/>
              </w:rPr>
              <w:t>橡木（拉丝）地板订购单</w:t>
            </w:r>
            <w:r>
              <w:rPr>
                <w:rFonts w:hint="eastAsia"/>
                <w:color w:val="auto"/>
                <w:szCs w:val="21"/>
                <w:lang w:eastAsia="zh-CN"/>
              </w:rPr>
              <w:t>：</w:t>
            </w:r>
            <w:r>
              <w:rPr>
                <w:rFonts w:hint="eastAsia"/>
                <w:color w:val="auto"/>
                <w:szCs w:val="21"/>
              </w:rPr>
              <w:t>合同规定了产品名称、规格型号、数量、价格、</w:t>
            </w:r>
            <w:r>
              <w:rPr>
                <w:rFonts w:hint="eastAsia"/>
                <w:color w:val="auto"/>
                <w:szCs w:val="21"/>
                <w:lang w:val="en-US" w:eastAsia="zh-CN"/>
              </w:rPr>
              <w:t>以及备注的技术性</w:t>
            </w:r>
            <w:r>
              <w:rPr>
                <w:rFonts w:hint="eastAsia"/>
                <w:color w:val="auto"/>
                <w:szCs w:val="21"/>
              </w:rPr>
              <w:t>条款</w:t>
            </w:r>
            <w:r>
              <w:rPr>
                <w:rFonts w:hint="eastAsia"/>
                <w:color w:val="auto"/>
                <w:szCs w:val="21"/>
                <w:lang w:val="en-US" w:eastAsia="zh-CN"/>
              </w:rPr>
              <w:t>等</w:t>
            </w:r>
            <w:r>
              <w:rPr>
                <w:rFonts w:hint="eastAsia"/>
                <w:color w:val="auto"/>
                <w:szCs w:val="21"/>
              </w:rPr>
              <w:t>，要求明确</w:t>
            </w:r>
            <w:r>
              <w:rPr>
                <w:rFonts w:hint="eastAsia"/>
                <w:color w:val="auto"/>
                <w:szCs w:val="21"/>
                <w:shd w:val="clear" w:color="auto" w:fill="auto"/>
              </w:rPr>
              <w:t>。</w:t>
            </w:r>
          </w:p>
          <w:p>
            <w:pPr>
              <w:spacing w:line="280" w:lineRule="exact"/>
              <w:ind w:firstLine="420" w:firstLineChars="200"/>
              <w:rPr>
                <w:color w:val="auto"/>
                <w:szCs w:val="21"/>
              </w:rPr>
            </w:pPr>
            <w:r>
              <w:rPr>
                <w:rFonts w:hint="eastAsia"/>
                <w:color w:val="auto"/>
                <w:szCs w:val="21"/>
              </w:rPr>
              <w:t>以上</w:t>
            </w:r>
            <w:r>
              <w:rPr>
                <w:rFonts w:hint="eastAsia"/>
                <w:color w:val="auto"/>
                <w:szCs w:val="21"/>
                <w:lang w:val="en-US" w:eastAsia="zh-CN"/>
              </w:rPr>
              <w:t>订单</w:t>
            </w:r>
            <w:r>
              <w:rPr>
                <w:rFonts w:hint="eastAsia"/>
                <w:color w:val="auto"/>
                <w:szCs w:val="21"/>
              </w:rPr>
              <w:t>均已实施，</w:t>
            </w:r>
            <w:r>
              <w:rPr>
                <w:rFonts w:hint="eastAsia"/>
                <w:color w:val="auto"/>
                <w:szCs w:val="21"/>
                <w:lang w:val="en-US" w:eastAsia="zh-CN"/>
              </w:rPr>
              <w:t>订单</w:t>
            </w:r>
            <w:r>
              <w:rPr>
                <w:rFonts w:hint="eastAsia"/>
                <w:color w:val="auto"/>
                <w:szCs w:val="21"/>
              </w:rPr>
              <w:t>评审在</w:t>
            </w:r>
            <w:r>
              <w:rPr>
                <w:rFonts w:hint="eastAsia"/>
                <w:color w:val="auto"/>
                <w:szCs w:val="21"/>
                <w:lang w:val="en-US" w:eastAsia="zh-CN"/>
              </w:rPr>
              <w:t>生产之前由生产等部门按照程序</w:t>
            </w:r>
            <w:r>
              <w:rPr>
                <w:rFonts w:hint="eastAsia"/>
                <w:color w:val="auto"/>
                <w:szCs w:val="21"/>
              </w:rPr>
              <w:t>进行。</w:t>
            </w:r>
          </w:p>
          <w:p>
            <w:pPr>
              <w:spacing w:line="280" w:lineRule="exact"/>
              <w:ind w:firstLine="420" w:firstLineChars="200"/>
              <w:rPr>
                <w:color w:val="FF0000"/>
                <w:szCs w:val="21"/>
              </w:rPr>
            </w:pPr>
            <w:r>
              <w:rPr>
                <w:rFonts w:hint="eastAsia"/>
                <w:color w:val="auto"/>
                <w:szCs w:val="21"/>
                <w:lang w:val="en-US" w:eastAsia="zh-CN"/>
              </w:rPr>
              <w:t>组织</w:t>
            </w:r>
            <w:r>
              <w:rPr>
                <w:rFonts w:hint="eastAsia"/>
                <w:color w:val="auto"/>
                <w:szCs w:val="21"/>
              </w:rPr>
              <w:t>暂无</w:t>
            </w:r>
            <w:r>
              <w:rPr>
                <w:rFonts w:hint="eastAsia"/>
                <w:color w:val="auto"/>
                <w:szCs w:val="21"/>
                <w:lang w:val="en-US" w:eastAsia="zh-CN"/>
              </w:rPr>
              <w:t>订单</w:t>
            </w:r>
            <w:r>
              <w:rPr>
                <w:rFonts w:hint="eastAsia"/>
                <w:color w:val="auto"/>
                <w:szCs w:val="21"/>
              </w:rPr>
              <w:t>变更情况</w:t>
            </w:r>
            <w:r>
              <w:rPr>
                <w:rFonts w:hint="eastAsia"/>
                <w:color w:val="auto"/>
                <w:szCs w:val="21"/>
                <w:lang w:eastAsia="zh-CN"/>
              </w:rPr>
              <w:t>，</w:t>
            </w:r>
            <w:r>
              <w:rPr>
                <w:rFonts w:hint="eastAsia"/>
                <w:color w:val="auto"/>
                <w:szCs w:val="21"/>
                <w:lang w:val="en-US" w:eastAsia="zh-CN"/>
              </w:rPr>
              <w:t>无相关记录</w:t>
            </w:r>
            <w:r>
              <w:rPr>
                <w:rFonts w:hint="eastAsia"/>
                <w:color w:val="auto"/>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 w:val="21"/>
                <w:szCs w:val="21"/>
              </w:rPr>
              <w:t>顾客或外部供方的财产</w:t>
            </w:r>
          </w:p>
        </w:tc>
        <w:tc>
          <w:tcPr>
            <w:tcW w:w="998"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Q8.5.3</w:t>
            </w:r>
          </w:p>
        </w:tc>
        <w:tc>
          <w:tcPr>
            <w:tcW w:w="10004" w:type="dxa"/>
            <w:vAlign w:val="center"/>
          </w:tcPr>
          <w:p>
            <w:pPr>
              <w:spacing w:line="280" w:lineRule="exact"/>
              <w:ind w:firstLine="420" w:firstLineChars="200"/>
              <w:rPr>
                <w:rFonts w:hint="default"/>
                <w:lang w:val="en-US" w:eastAsia="zh-CN"/>
              </w:rPr>
            </w:pPr>
            <w:r>
              <w:rPr>
                <w:rFonts w:hint="eastAsia"/>
                <w:lang w:val="en-US" w:eastAsia="zh-CN"/>
              </w:rPr>
              <w:t>组织对</w:t>
            </w:r>
            <w:r>
              <w:rPr>
                <w:rFonts w:hint="default"/>
              </w:rPr>
              <w:t>顾客或外部供方的财产</w:t>
            </w:r>
            <w:r>
              <w:rPr>
                <w:rFonts w:hint="eastAsia"/>
                <w:lang w:eastAsia="zh-CN"/>
              </w:rPr>
              <w:t>的</w:t>
            </w:r>
            <w:r>
              <w:rPr>
                <w:rFonts w:hint="eastAsia"/>
                <w:lang w:val="en-US" w:eastAsia="zh-CN"/>
              </w:rPr>
              <w:t>识别、防护作了基本规定。组织的供方或顾客财产</w:t>
            </w:r>
            <w:r>
              <w:rPr>
                <w:rFonts w:hint="default"/>
              </w:rPr>
              <w:t>包</w:t>
            </w:r>
            <w:r>
              <w:rPr>
                <w:rFonts w:hint="default"/>
                <w:color w:val="auto"/>
              </w:rPr>
              <w:t>括个人</w:t>
            </w:r>
            <w:r>
              <w:rPr>
                <w:rFonts w:hint="eastAsia"/>
                <w:color w:val="auto"/>
                <w:lang w:val="en-US" w:eastAsia="zh-CN"/>
              </w:rPr>
              <w:t>信息、知识产权</w:t>
            </w:r>
            <w:r>
              <w:rPr>
                <w:rFonts w:hint="default"/>
                <w:color w:val="auto"/>
              </w:rPr>
              <w:t>等，由</w:t>
            </w:r>
            <w:r>
              <w:rPr>
                <w:rFonts w:hint="eastAsia"/>
                <w:color w:val="auto"/>
                <w:lang w:val="en-US" w:eastAsia="zh-CN"/>
              </w:rPr>
              <w:t>销售部</w:t>
            </w:r>
            <w:r>
              <w:rPr>
                <w:rFonts w:hint="default"/>
                <w:color w:val="auto"/>
              </w:rPr>
              <w:t>门专门人员负责管理，分类登记放置。未发生损坏丢失等现象。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22" w:type="dxa"/>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交付后的活动</w:t>
            </w:r>
          </w:p>
        </w:tc>
        <w:tc>
          <w:tcPr>
            <w:tcW w:w="998"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 w:val="21"/>
                <w:szCs w:val="21"/>
                <w:lang w:val="en-US" w:eastAsia="zh-CN"/>
              </w:rPr>
              <w:t>Q</w:t>
            </w:r>
            <w:r>
              <w:rPr>
                <w:rFonts w:hint="eastAsia" w:ascii="华文细黑" w:hAnsi="华文细黑" w:eastAsia="华文细黑" w:cs="华文细黑"/>
                <w:sz w:val="21"/>
                <w:szCs w:val="21"/>
              </w:rPr>
              <w:t>8.5.5</w:t>
            </w:r>
          </w:p>
        </w:tc>
        <w:tc>
          <w:tcPr>
            <w:tcW w:w="10004" w:type="dxa"/>
            <w:vAlign w:val="center"/>
          </w:tcPr>
          <w:p>
            <w:pPr>
              <w:spacing w:line="280" w:lineRule="exact"/>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组织制定了</w:t>
            </w:r>
            <w:r>
              <w:rPr>
                <w:rFonts w:hint="eastAsia" w:cs="Times New Roman"/>
                <w:color w:val="auto"/>
                <w:szCs w:val="21"/>
                <w:lang w:val="en-US" w:eastAsia="zh-CN"/>
              </w:rPr>
              <w:t>《</w:t>
            </w:r>
            <w:r>
              <w:rPr>
                <w:rFonts w:hint="eastAsia" w:ascii="宋体" w:hAnsi="宋体" w:cs="宋体"/>
                <w:szCs w:val="21"/>
              </w:rPr>
              <w:t>不合格输出控制程序</w:t>
            </w:r>
            <w:r>
              <w:rPr>
                <w:rFonts w:hint="eastAsia" w:cs="Times New Roman"/>
                <w:color w:val="auto"/>
                <w:szCs w:val="21"/>
                <w:lang w:val="en-US" w:eastAsia="zh-CN"/>
              </w:rPr>
              <w:t>》</w:t>
            </w:r>
            <w:r>
              <w:rPr>
                <w:rFonts w:hint="eastAsia" w:ascii="Times New Roman" w:hAnsi="Times New Roman" w:cs="Times New Roman"/>
                <w:color w:val="auto"/>
                <w:szCs w:val="21"/>
                <w:lang w:val="en-US" w:eastAsia="zh-CN"/>
              </w:rPr>
              <w:t>，对已销产品</w:t>
            </w:r>
            <w:r>
              <w:rPr>
                <w:rFonts w:hint="eastAsia" w:cs="Times New Roman"/>
                <w:color w:val="auto"/>
                <w:szCs w:val="21"/>
                <w:lang w:val="en-US" w:eastAsia="zh-CN"/>
              </w:rPr>
              <w:t>的质量问题</w:t>
            </w:r>
            <w:r>
              <w:rPr>
                <w:rFonts w:hint="eastAsia" w:ascii="Times New Roman" w:hAnsi="Times New Roman" w:cs="Times New Roman"/>
                <w:color w:val="auto"/>
                <w:szCs w:val="21"/>
                <w:lang w:val="en-US" w:eastAsia="zh-CN"/>
              </w:rPr>
              <w:t>处理事宜作了基本规定。</w:t>
            </w:r>
          </w:p>
          <w:p>
            <w:pPr>
              <w:spacing w:line="280" w:lineRule="exact"/>
              <w:ind w:firstLine="420" w:firstLineChars="200"/>
              <w:rPr>
                <w:rFonts w:hint="default"/>
                <w:lang w:val="en-US" w:eastAsia="zh-CN"/>
              </w:rPr>
            </w:pPr>
            <w:r>
              <w:rPr>
                <w:rFonts w:hint="eastAsia" w:ascii="Times New Roman" w:hAnsi="Times New Roman" w:cs="Times New Roman"/>
                <w:color w:val="auto"/>
                <w:szCs w:val="21"/>
                <w:lang w:val="en-US" w:eastAsia="zh-CN"/>
              </w:rPr>
              <w:t>询问</w:t>
            </w:r>
            <w:r>
              <w:rPr>
                <w:rFonts w:hint="eastAsia" w:cs="Times New Roman"/>
                <w:color w:val="auto"/>
                <w:szCs w:val="21"/>
                <w:lang w:val="en-US" w:eastAsia="zh-CN"/>
              </w:rPr>
              <w:t>销售部</w:t>
            </w:r>
            <w:r>
              <w:rPr>
                <w:rFonts w:hint="eastAsia" w:ascii="Times New Roman" w:hAnsi="Times New Roman" w:cs="Times New Roman"/>
                <w:color w:val="auto"/>
                <w:szCs w:val="21"/>
                <w:lang w:val="en-US" w:eastAsia="zh-CN"/>
              </w:rPr>
              <w:t>负责人</w:t>
            </w:r>
            <w:r>
              <w:rPr>
                <w:rFonts w:hint="eastAsia" w:cs="Times New Roman"/>
                <w:color w:val="auto"/>
                <w:szCs w:val="21"/>
                <w:lang w:val="en-US" w:eastAsia="zh-CN"/>
              </w:rPr>
              <w:t>周晓文</w:t>
            </w:r>
            <w:r>
              <w:rPr>
                <w:rFonts w:hint="eastAsia" w:ascii="Times New Roman" w:hAnsi="Times New Roman" w:cs="Times New Roman"/>
                <w:color w:val="auto"/>
                <w:szCs w:val="21"/>
                <w:lang w:val="en-US" w:eastAsia="zh-CN"/>
              </w:rPr>
              <w:t>了解到：组织保证所供货物均符合合同规定的质量、规格和</w:t>
            </w:r>
            <w:r>
              <w:rPr>
                <w:rFonts w:hint="eastAsia" w:cs="Times New Roman"/>
                <w:color w:val="auto"/>
                <w:szCs w:val="21"/>
                <w:lang w:val="en-US" w:eastAsia="zh-CN"/>
              </w:rPr>
              <w:t>功</w:t>
            </w:r>
            <w:r>
              <w:rPr>
                <w:rFonts w:hint="eastAsia" w:ascii="Times New Roman" w:hAnsi="Times New Roman" w:cs="Times New Roman"/>
                <w:color w:val="auto"/>
                <w:szCs w:val="21"/>
                <w:lang w:val="en-US" w:eastAsia="zh-CN"/>
              </w:rPr>
              <w:t>能要求，并且所有产品都随</w:t>
            </w:r>
            <w:r>
              <w:rPr>
                <w:rFonts w:hint="eastAsia" w:cs="Times New Roman"/>
                <w:color w:val="auto"/>
                <w:szCs w:val="21"/>
                <w:lang w:val="en-US" w:eastAsia="zh-CN"/>
              </w:rPr>
              <w:t>货</w:t>
            </w:r>
            <w:r>
              <w:rPr>
                <w:rFonts w:hint="eastAsia" w:ascii="Times New Roman" w:hAnsi="Times New Roman" w:cs="Times New Roman"/>
                <w:color w:val="auto"/>
                <w:szCs w:val="21"/>
                <w:lang w:val="en-US" w:eastAsia="zh-CN"/>
              </w:rPr>
              <w:t>附出厂检验合格证明；如客户在使用过程中发现问题，</w:t>
            </w:r>
            <w:r>
              <w:rPr>
                <w:rFonts w:hint="eastAsia" w:cs="Times New Roman"/>
                <w:color w:val="auto"/>
                <w:szCs w:val="21"/>
                <w:lang w:val="en-US" w:eastAsia="zh-CN"/>
              </w:rPr>
              <w:t>基本</w:t>
            </w:r>
            <w:r>
              <w:rPr>
                <w:rFonts w:hint="eastAsia" w:ascii="Times New Roman" w:hAnsi="Times New Roman" w:cs="Times New Roman"/>
                <w:color w:val="auto"/>
                <w:szCs w:val="21"/>
                <w:lang w:val="en-US" w:eastAsia="zh-CN"/>
              </w:rPr>
              <w:t>可通过电话</w:t>
            </w:r>
            <w:r>
              <w:rPr>
                <w:rFonts w:hint="eastAsia" w:cs="Times New Roman"/>
                <w:color w:val="auto"/>
                <w:szCs w:val="21"/>
                <w:lang w:val="en-US" w:eastAsia="zh-CN"/>
              </w:rPr>
              <w:t>、文书等</w:t>
            </w:r>
            <w:r>
              <w:rPr>
                <w:rFonts w:hint="eastAsia" w:ascii="Times New Roman" w:hAnsi="Times New Roman" w:cs="Times New Roman"/>
                <w:color w:val="auto"/>
                <w:szCs w:val="21"/>
                <w:lang w:val="en-US" w:eastAsia="zh-CN"/>
              </w:rPr>
              <w:t>进行解决。</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22" w:type="dxa"/>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顾客满意</w:t>
            </w:r>
          </w:p>
        </w:tc>
        <w:tc>
          <w:tcPr>
            <w:tcW w:w="998"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 w:val="21"/>
                <w:szCs w:val="21"/>
                <w:lang w:val="en-US" w:eastAsia="zh-CN"/>
              </w:rPr>
              <w:t>Q</w:t>
            </w:r>
            <w:r>
              <w:rPr>
                <w:rFonts w:hint="eastAsia" w:ascii="华文细黑" w:hAnsi="华文细黑" w:eastAsia="华文细黑" w:cs="华文细黑"/>
                <w:sz w:val="21"/>
                <w:szCs w:val="21"/>
              </w:rPr>
              <w:t>9.1.2</w:t>
            </w:r>
          </w:p>
        </w:tc>
        <w:tc>
          <w:tcPr>
            <w:tcW w:w="10004" w:type="dxa"/>
            <w:vAlign w:val="center"/>
          </w:tcPr>
          <w:p>
            <w:pPr>
              <w:spacing w:line="28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组织已建立和保持了《顾客满意度监测管理程序》，对顾客满意的监测的相关内容进行了规定，其包括了对调查时机、方式、方案等。</w:t>
            </w:r>
          </w:p>
          <w:p>
            <w:pPr>
              <w:spacing w:line="28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提供调查记录：抽查</w:t>
            </w:r>
            <w:r>
              <w:rPr>
                <w:rFonts w:hint="eastAsia"/>
                <w:color w:val="auto"/>
                <w:szCs w:val="21"/>
                <w:shd w:val="clear" w:color="auto" w:fill="auto"/>
                <w:lang w:val="en-US" w:eastAsia="zh-CN"/>
              </w:rPr>
              <w:t>江苏肯帝亚木业有限公司</w:t>
            </w:r>
            <w:r>
              <w:rPr>
                <w:rFonts w:hint="eastAsia"/>
                <w:color w:val="FF0000"/>
                <w:szCs w:val="21"/>
                <w:lang w:val="en-US" w:eastAsia="zh-CN"/>
              </w:rPr>
              <w:t>、</w:t>
            </w:r>
            <w:r>
              <w:rPr>
                <w:rFonts w:hint="eastAsia"/>
                <w:color w:val="auto"/>
                <w:szCs w:val="21"/>
                <w:lang w:val="en-US" w:eastAsia="zh-CN"/>
              </w:rPr>
              <w:t>佛山大自然绿客科技有限</w:t>
            </w:r>
            <w:r>
              <w:rPr>
                <w:rFonts w:hint="eastAsia"/>
                <w:color w:val="auto"/>
                <w:szCs w:val="21"/>
              </w:rPr>
              <w:t>公司</w:t>
            </w:r>
            <w:r>
              <w:rPr>
                <w:rFonts w:hint="eastAsia"/>
                <w:color w:val="auto"/>
                <w:szCs w:val="21"/>
                <w:lang w:eastAsia="zh-CN"/>
              </w:rPr>
              <w:t>、</w:t>
            </w:r>
            <w:r>
              <w:rPr>
                <w:rFonts w:hint="eastAsia"/>
                <w:color w:val="auto"/>
                <w:szCs w:val="21"/>
                <w:lang w:val="en-US" w:eastAsia="zh-CN"/>
              </w:rPr>
              <w:t>佛山和邦盛世有限</w:t>
            </w:r>
            <w:r>
              <w:rPr>
                <w:rFonts w:hint="eastAsia"/>
                <w:color w:val="auto"/>
                <w:szCs w:val="21"/>
              </w:rPr>
              <w:t>公司</w:t>
            </w:r>
            <w:r>
              <w:rPr>
                <w:rFonts w:hint="eastAsia" w:ascii="Times New Roman" w:hAnsi="Times New Roman" w:cs="Times New Roman"/>
                <w:color w:val="auto"/>
                <w:szCs w:val="21"/>
                <w:lang w:val="en-US" w:eastAsia="zh-CN"/>
              </w:rPr>
              <w:t>等《顾客满意程度调查表》，调查内容有：产品质量、价格、交货期、服务质量等，基本完整。</w:t>
            </w:r>
          </w:p>
          <w:p>
            <w:pPr>
              <w:spacing w:line="280" w:lineRule="exact"/>
              <w:ind w:firstLine="420" w:firstLineChars="200"/>
              <w:rPr>
                <w:rFonts w:hint="default"/>
                <w:lang w:val="en-US" w:eastAsia="zh-CN"/>
              </w:rPr>
            </w:pPr>
            <w:r>
              <w:rPr>
                <w:rFonts w:hint="eastAsia" w:ascii="Times New Roman" w:hAnsi="Times New Roman" w:cs="Times New Roman"/>
                <w:color w:val="auto"/>
                <w:szCs w:val="21"/>
                <w:lang w:val="en-US" w:eastAsia="zh-CN"/>
              </w:rPr>
              <w:t>提供《顾客满意度调查报告》，顾客满意率达到97%</w:t>
            </w:r>
            <w:r>
              <w:rPr>
                <w:rFonts w:hint="eastAsia" w:ascii="Times New Roman" w:hAnsi="Times New Roman" w:cs="Times New Roman"/>
                <w:color w:val="auto"/>
                <w:szCs w:val="21"/>
                <w:lang w:val="en-US" w:eastAsia="zh-CN"/>
              </w:rPr>
              <w:t>，达到了质量目标的要求。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22" w:type="dxa"/>
          </w:tcPr>
          <w:p>
            <w:pPr>
              <w:rPr>
                <w:rFonts w:hint="eastAsia" w:ascii="华文细黑" w:hAnsi="华文细黑" w:eastAsia="华文细黑" w:cs="华文细黑"/>
                <w:b/>
                <w:sz w:val="21"/>
                <w:szCs w:val="21"/>
              </w:rPr>
            </w:pPr>
            <w:r>
              <w:rPr>
                <w:rFonts w:hint="eastAsia"/>
                <w:sz w:val="21"/>
                <w:szCs w:val="21"/>
                <w:lang w:val="en-US" w:eastAsia="zh-CN"/>
              </w:rPr>
              <w:t>销售环节环境因素辨识欲控制</w:t>
            </w:r>
          </w:p>
          <w:p>
            <w:pPr>
              <w:spacing w:line="280" w:lineRule="exact"/>
              <w:rPr>
                <w:rFonts w:hint="default" w:ascii="华文细黑" w:hAnsi="华文细黑" w:eastAsia="华文细黑" w:cs="华文细黑"/>
                <w:sz w:val="21"/>
                <w:szCs w:val="21"/>
                <w:lang w:val="en-US" w:eastAsia="zh-CN"/>
              </w:rPr>
            </w:pPr>
          </w:p>
        </w:tc>
        <w:tc>
          <w:tcPr>
            <w:tcW w:w="998" w:type="dxa"/>
          </w:tcPr>
          <w:p>
            <w:pPr>
              <w:spacing w:line="280" w:lineRule="exact"/>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E6.1.2</w:t>
            </w:r>
          </w:p>
        </w:tc>
        <w:tc>
          <w:tcPr>
            <w:tcW w:w="10004" w:type="dxa"/>
            <w:vAlign w:val="center"/>
          </w:tcPr>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组织根据手册第6.1.2条款、《环境因素识别与评价管理程序》要求，由总</w:t>
            </w:r>
            <w:r>
              <w:rPr>
                <w:rFonts w:hint="eastAsia" w:ascii="华文细黑" w:hAnsi="华文细黑" w:cs="华文细黑"/>
                <w:color w:val="auto"/>
                <w:sz w:val="21"/>
                <w:szCs w:val="21"/>
                <w:lang w:val="en-US" w:eastAsia="zh-CN"/>
              </w:rPr>
              <w:t>综合部</w:t>
            </w:r>
            <w:r>
              <w:rPr>
                <w:rFonts w:hint="eastAsia" w:ascii="华文细黑" w:hAnsi="华文细黑" w:eastAsia="华文细黑" w:cs="华文细黑"/>
                <w:color w:val="auto"/>
                <w:sz w:val="21"/>
                <w:szCs w:val="21"/>
                <w:lang w:val="en-US" w:eastAsia="zh-CN"/>
              </w:rPr>
              <w:t>负责指导各部门环境因素的调查、评价、汇总、登记、审定及更新，各部门配合负责识别、评价</w:t>
            </w:r>
            <w:r>
              <w:rPr>
                <w:rFonts w:hint="eastAsia" w:ascii="华文细黑" w:hAnsi="华文细黑" w:cs="华文细黑"/>
                <w:color w:val="auto"/>
                <w:sz w:val="21"/>
                <w:szCs w:val="21"/>
                <w:lang w:val="en-US" w:eastAsia="zh-CN"/>
              </w:rPr>
              <w:t>职责</w:t>
            </w:r>
            <w:r>
              <w:rPr>
                <w:rFonts w:hint="eastAsia" w:ascii="华文细黑" w:hAnsi="华文细黑" w:eastAsia="华文细黑" w:cs="华文细黑"/>
                <w:color w:val="auto"/>
                <w:sz w:val="21"/>
                <w:szCs w:val="21"/>
                <w:lang w:val="en-US" w:eastAsia="zh-CN"/>
              </w:rPr>
              <w:t>所属范围的环境因素。</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查看组织《环境因素登记</w:t>
            </w:r>
            <w:r>
              <w:rPr>
                <w:rFonts w:hint="eastAsia" w:ascii="华文细黑" w:hAnsi="华文细黑" w:cs="华文细黑"/>
                <w:color w:val="auto"/>
                <w:sz w:val="21"/>
                <w:szCs w:val="21"/>
                <w:lang w:val="en-US" w:eastAsia="zh-CN"/>
              </w:rPr>
              <w:t>和</w:t>
            </w:r>
            <w:r>
              <w:rPr>
                <w:rFonts w:hint="eastAsia" w:ascii="华文细黑" w:hAnsi="华文细黑" w:eastAsia="华文细黑" w:cs="华文细黑"/>
                <w:color w:val="auto"/>
                <w:sz w:val="21"/>
                <w:szCs w:val="21"/>
                <w:lang w:val="en-US" w:eastAsia="zh-CN"/>
              </w:rPr>
              <w:t>评价表》，组织在办公区、厂区公共区域、仓库区域、车间区域手动液压叉车等场所，按照活动过程调查、识别和确定了环境因素及其环境影响，对环境因素的正常、异常、紧急状态进行评价，对应责任部门明确，有相应的保存期限、责任人和制定日期，基本满足环境因素识别、确定和保持要求。</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组织按照《环境因素识别</w:t>
            </w:r>
            <w:r>
              <w:rPr>
                <w:rFonts w:hint="eastAsia" w:ascii="华文细黑" w:hAnsi="华文细黑" w:cs="华文细黑"/>
                <w:color w:val="auto"/>
                <w:sz w:val="21"/>
                <w:szCs w:val="21"/>
                <w:lang w:val="en-US" w:eastAsia="zh-CN"/>
              </w:rPr>
              <w:t>与</w:t>
            </w:r>
            <w:r>
              <w:rPr>
                <w:rFonts w:hint="eastAsia" w:ascii="华文细黑" w:hAnsi="华文细黑" w:eastAsia="华文细黑" w:cs="华文细黑"/>
                <w:color w:val="auto"/>
                <w:sz w:val="21"/>
                <w:szCs w:val="21"/>
                <w:lang w:val="en-US" w:eastAsia="zh-CN"/>
              </w:rPr>
              <w:t>评价管理程序》5.3准则确定了重要环境因素，抽查组织《重要环境因素清单》</w:t>
            </w:r>
            <w:r>
              <w:rPr>
                <w:rFonts w:hint="eastAsia" w:ascii="华文细黑" w:hAnsi="华文细黑" w:cs="华文细黑"/>
                <w:color w:val="auto"/>
                <w:sz w:val="21"/>
                <w:szCs w:val="21"/>
                <w:lang w:val="en-US" w:eastAsia="zh-CN"/>
              </w:rPr>
              <w:t>，涉及销售环节的</w:t>
            </w:r>
            <w:r>
              <w:rPr>
                <w:rFonts w:hint="eastAsia" w:ascii="华文细黑" w:hAnsi="华文细黑" w:eastAsia="华文细黑" w:cs="华文细黑"/>
                <w:color w:val="auto"/>
                <w:sz w:val="21"/>
                <w:szCs w:val="21"/>
                <w:lang w:val="en-US" w:eastAsia="zh-CN"/>
              </w:rPr>
              <w:t>内容如下：</w:t>
            </w:r>
          </w:p>
          <w:tbl>
            <w:tblPr>
              <w:tblStyle w:val="8"/>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276"/>
              <w:gridCol w:w="3860"/>
              <w:gridCol w:w="1108"/>
              <w:gridCol w:w="1124"/>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10"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序号</w:t>
                  </w:r>
                </w:p>
              </w:tc>
              <w:tc>
                <w:tcPr>
                  <w:tcW w:w="1276"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环境因素</w:t>
                  </w:r>
                </w:p>
              </w:tc>
              <w:tc>
                <w:tcPr>
                  <w:tcW w:w="3860"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活动点/工序或部位</w:t>
                  </w:r>
                </w:p>
              </w:tc>
              <w:tc>
                <w:tcPr>
                  <w:tcW w:w="1108" w:type="dxa"/>
                  <w:noWrap w:val="0"/>
                  <w:vAlign w:val="center"/>
                </w:tcPr>
                <w:p>
                  <w:pPr>
                    <w:ind w:left="-737" w:leftChars="-351" w:firstLine="644" w:firstLineChars="307"/>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环境影响</w:t>
                  </w:r>
                </w:p>
              </w:tc>
              <w:tc>
                <w:tcPr>
                  <w:tcW w:w="1124"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时态/状态</w:t>
                  </w:r>
                </w:p>
              </w:tc>
              <w:tc>
                <w:tcPr>
                  <w:tcW w:w="1946"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0" w:type="dxa"/>
                  <w:tcBorders>
                    <w:bottom w:val="single" w:color="auto" w:sz="4" w:space="0"/>
                  </w:tcBorders>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1</w:t>
                  </w:r>
                </w:p>
              </w:tc>
              <w:tc>
                <w:tcPr>
                  <w:tcW w:w="1276" w:type="dxa"/>
                  <w:tcBorders>
                    <w:bottom w:val="single" w:color="auto" w:sz="4" w:space="0"/>
                  </w:tcBorders>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噪声的排放</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场内运输作业时的噪声</w:t>
                  </w:r>
                </w:p>
              </w:tc>
              <w:tc>
                <w:tcPr>
                  <w:tcW w:w="1108" w:type="dxa"/>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影响人体健康、社区居民休息</w:t>
                  </w:r>
                </w:p>
              </w:tc>
              <w:tc>
                <w:tcPr>
                  <w:tcW w:w="1124" w:type="dxa"/>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1946" w:type="dxa"/>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410"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2</w:t>
                  </w:r>
                </w:p>
              </w:tc>
              <w:tc>
                <w:tcPr>
                  <w:tcW w:w="1276"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废水的排放</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生活废水的排放</w:t>
                  </w:r>
                </w:p>
              </w:tc>
              <w:tc>
                <w:tcPr>
                  <w:tcW w:w="1108"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水体污染</w:t>
                  </w:r>
                </w:p>
              </w:tc>
              <w:tc>
                <w:tcPr>
                  <w:tcW w:w="1124"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194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0" w:type="dxa"/>
                  <w:noWrap w:val="0"/>
                  <w:vAlign w:val="center"/>
                </w:tcPr>
                <w:p>
                  <w:pPr>
                    <w:jc w:val="center"/>
                    <w:rPr>
                      <w:rFonts w:hint="eastAsia" w:ascii="华文细黑" w:hAnsi="华文细黑" w:eastAsia="华文细黑" w:cs="华文细黑"/>
                      <w:color w:val="auto"/>
                      <w:sz w:val="21"/>
                      <w:szCs w:val="21"/>
                      <w:lang w:eastAsia="zh-CN"/>
                    </w:rPr>
                  </w:pPr>
                  <w:r>
                    <w:rPr>
                      <w:rFonts w:hint="eastAsia" w:ascii="华文细黑" w:hAnsi="华文细黑" w:cs="华文细黑"/>
                      <w:color w:val="auto"/>
                      <w:sz w:val="21"/>
                      <w:szCs w:val="21"/>
                      <w:lang w:val="en-US" w:eastAsia="zh-CN"/>
                    </w:rPr>
                    <w:t>3</w:t>
                  </w:r>
                </w:p>
              </w:tc>
              <w:tc>
                <w:tcPr>
                  <w:tcW w:w="1276"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资源的消耗</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办公用电、水等的消耗</w:t>
                  </w:r>
                </w:p>
              </w:tc>
              <w:tc>
                <w:tcPr>
                  <w:tcW w:w="1108"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资源消耗</w:t>
                  </w:r>
                </w:p>
              </w:tc>
              <w:tc>
                <w:tcPr>
                  <w:tcW w:w="1124"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1946"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10" w:type="dxa"/>
                  <w:vMerge w:val="restart"/>
                  <w:noWrap w:val="0"/>
                  <w:vAlign w:val="center"/>
                </w:tcPr>
                <w:p>
                  <w:pPr>
                    <w:jc w:val="center"/>
                    <w:rPr>
                      <w:rFonts w:hint="eastAsia" w:ascii="华文细黑" w:hAnsi="华文细黑" w:eastAsia="华文细黑" w:cs="华文细黑"/>
                      <w:color w:val="auto"/>
                      <w:sz w:val="21"/>
                      <w:szCs w:val="21"/>
                      <w:lang w:eastAsia="zh-CN"/>
                    </w:rPr>
                  </w:pPr>
                  <w:r>
                    <w:rPr>
                      <w:rFonts w:hint="eastAsia" w:ascii="华文细黑" w:hAnsi="华文细黑" w:cs="华文细黑"/>
                      <w:color w:val="auto"/>
                      <w:sz w:val="21"/>
                      <w:szCs w:val="21"/>
                      <w:lang w:val="en-US" w:eastAsia="zh-CN"/>
                    </w:rPr>
                    <w:t>4</w:t>
                  </w:r>
                </w:p>
              </w:tc>
              <w:tc>
                <w:tcPr>
                  <w:tcW w:w="1276" w:type="dxa"/>
                  <w:vMerge w:val="restart"/>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潜在火灾事故的发生</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办公室的易燃物品管理不慎，吸烟等明火引发的火灾</w:t>
                  </w:r>
                </w:p>
              </w:tc>
              <w:tc>
                <w:tcPr>
                  <w:tcW w:w="1108"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大气、水体等综合性污染</w:t>
                  </w:r>
                </w:p>
              </w:tc>
              <w:tc>
                <w:tcPr>
                  <w:tcW w:w="1124"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将来/紧急</w:t>
                  </w:r>
                </w:p>
              </w:tc>
              <w:tc>
                <w:tcPr>
                  <w:tcW w:w="1946"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10" w:type="dxa"/>
                  <w:vMerge w:val="continue"/>
                  <w:noWrap w:val="0"/>
                  <w:vAlign w:val="center"/>
                </w:tcPr>
                <w:p>
                  <w:pPr>
                    <w:jc w:val="center"/>
                    <w:rPr>
                      <w:rFonts w:hint="eastAsia" w:ascii="华文细黑" w:hAnsi="华文细黑" w:eastAsia="华文细黑" w:cs="华文细黑"/>
                      <w:color w:val="auto"/>
                      <w:sz w:val="21"/>
                      <w:szCs w:val="21"/>
                    </w:rPr>
                  </w:pPr>
                </w:p>
              </w:tc>
              <w:tc>
                <w:tcPr>
                  <w:tcW w:w="1276" w:type="dxa"/>
                  <w:vMerge w:val="continue"/>
                  <w:noWrap w:val="0"/>
                  <w:vAlign w:val="center"/>
                </w:tcPr>
                <w:p>
                  <w:pPr>
                    <w:jc w:val="center"/>
                    <w:rPr>
                      <w:rFonts w:hint="eastAsia" w:ascii="华文细黑" w:hAnsi="华文细黑" w:eastAsia="华文细黑" w:cs="华文细黑"/>
                      <w:color w:val="auto"/>
                      <w:sz w:val="21"/>
                      <w:szCs w:val="21"/>
                    </w:rPr>
                  </w:pPr>
                </w:p>
              </w:tc>
              <w:tc>
                <w:tcPr>
                  <w:tcW w:w="3860" w:type="dxa"/>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电器短路火灾的发生</w:t>
                  </w:r>
                </w:p>
              </w:tc>
              <w:tc>
                <w:tcPr>
                  <w:tcW w:w="1108" w:type="dxa"/>
                  <w:vMerge w:val="continue"/>
                  <w:noWrap w:val="0"/>
                  <w:vAlign w:val="top"/>
                </w:tcPr>
                <w:p>
                  <w:pPr>
                    <w:rPr>
                      <w:rFonts w:hint="eastAsia" w:ascii="华文细黑" w:hAnsi="华文细黑" w:eastAsia="华文细黑" w:cs="华文细黑"/>
                      <w:color w:val="auto"/>
                      <w:sz w:val="21"/>
                      <w:szCs w:val="21"/>
                    </w:rPr>
                  </w:pPr>
                </w:p>
              </w:tc>
              <w:tc>
                <w:tcPr>
                  <w:tcW w:w="1124" w:type="dxa"/>
                  <w:vMerge w:val="continue"/>
                  <w:noWrap w:val="0"/>
                  <w:vAlign w:val="top"/>
                </w:tcPr>
                <w:p>
                  <w:pPr>
                    <w:rPr>
                      <w:rFonts w:hint="eastAsia" w:ascii="华文细黑" w:hAnsi="华文细黑" w:eastAsia="华文细黑" w:cs="华文细黑"/>
                      <w:color w:val="auto"/>
                      <w:sz w:val="21"/>
                      <w:szCs w:val="21"/>
                    </w:rPr>
                  </w:pPr>
                </w:p>
              </w:tc>
              <w:tc>
                <w:tcPr>
                  <w:tcW w:w="1946" w:type="dxa"/>
                  <w:vMerge w:val="continue"/>
                  <w:noWrap w:val="0"/>
                  <w:vAlign w:val="top"/>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0" w:type="dxa"/>
                  <w:vMerge w:val="continue"/>
                  <w:noWrap w:val="0"/>
                  <w:vAlign w:val="center"/>
                </w:tcPr>
                <w:p>
                  <w:pPr>
                    <w:jc w:val="center"/>
                    <w:rPr>
                      <w:rFonts w:hint="eastAsia" w:ascii="华文细黑" w:hAnsi="华文细黑" w:eastAsia="华文细黑" w:cs="华文细黑"/>
                      <w:color w:val="auto"/>
                      <w:sz w:val="21"/>
                      <w:szCs w:val="21"/>
                    </w:rPr>
                  </w:pPr>
                </w:p>
              </w:tc>
              <w:tc>
                <w:tcPr>
                  <w:tcW w:w="1276" w:type="dxa"/>
                  <w:vMerge w:val="continue"/>
                  <w:noWrap w:val="0"/>
                  <w:vAlign w:val="center"/>
                </w:tcPr>
                <w:p>
                  <w:pPr>
                    <w:jc w:val="center"/>
                    <w:rPr>
                      <w:rFonts w:hint="eastAsia" w:ascii="华文细黑" w:hAnsi="华文细黑" w:eastAsia="华文细黑" w:cs="华文细黑"/>
                      <w:color w:val="auto"/>
                      <w:sz w:val="21"/>
                      <w:szCs w:val="21"/>
                    </w:rPr>
                  </w:pP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办公（废电池、废灯管、废硒鼓墨盒）</w:t>
                  </w:r>
                </w:p>
              </w:tc>
              <w:tc>
                <w:tcPr>
                  <w:tcW w:w="1108" w:type="dxa"/>
                  <w:vMerge w:val="continue"/>
                  <w:noWrap w:val="0"/>
                  <w:vAlign w:val="center"/>
                </w:tcPr>
                <w:p>
                  <w:pPr>
                    <w:rPr>
                      <w:rFonts w:hint="eastAsia" w:ascii="华文细黑" w:hAnsi="华文细黑" w:eastAsia="华文细黑" w:cs="华文细黑"/>
                      <w:color w:val="auto"/>
                      <w:sz w:val="21"/>
                      <w:szCs w:val="21"/>
                    </w:rPr>
                  </w:pPr>
                </w:p>
              </w:tc>
              <w:tc>
                <w:tcPr>
                  <w:tcW w:w="1124" w:type="dxa"/>
                  <w:vMerge w:val="continue"/>
                  <w:noWrap w:val="0"/>
                  <w:vAlign w:val="center"/>
                </w:tcPr>
                <w:p>
                  <w:pPr>
                    <w:rPr>
                      <w:rFonts w:hint="eastAsia" w:ascii="华文细黑" w:hAnsi="华文细黑" w:eastAsia="华文细黑" w:cs="华文细黑"/>
                      <w:color w:val="auto"/>
                      <w:sz w:val="21"/>
                      <w:szCs w:val="21"/>
                    </w:rPr>
                  </w:pPr>
                </w:p>
              </w:tc>
              <w:tc>
                <w:tcPr>
                  <w:tcW w:w="1946" w:type="dxa"/>
                  <w:vMerge w:val="continue"/>
                  <w:noWrap w:val="0"/>
                  <w:vAlign w:val="center"/>
                </w:tcPr>
                <w:p>
                  <w:pPr>
                    <w:rPr>
                      <w:rFonts w:hint="eastAsia" w:ascii="华文细黑" w:hAnsi="华文细黑" w:eastAsia="华文细黑" w:cs="华文细黑"/>
                      <w:color w:val="auto"/>
                      <w:sz w:val="21"/>
                      <w:szCs w:val="21"/>
                    </w:rPr>
                  </w:pPr>
                </w:p>
              </w:tc>
            </w:tr>
          </w:tbl>
          <w:p>
            <w:pPr>
              <w:spacing w:line="280" w:lineRule="exact"/>
              <w:ind w:firstLine="420" w:firstLineChars="200"/>
              <w:rPr>
                <w:rFonts w:hint="eastAsia" w:ascii="Times New Roman" w:hAnsi="Times New Roman" w:cs="Times New Roman"/>
                <w:color w:val="auto"/>
                <w:szCs w:val="21"/>
                <w:lang w:val="en-US" w:eastAsia="zh-CN"/>
              </w:rPr>
            </w:pPr>
            <w:r>
              <w:rPr>
                <w:rFonts w:hint="eastAsia" w:ascii="华文细黑" w:hAnsi="华文细黑" w:eastAsia="华文细黑" w:cs="华文细黑"/>
                <w:color w:val="auto"/>
                <w:sz w:val="21"/>
                <w:szCs w:val="21"/>
                <w:lang w:val="en-US" w:eastAsia="zh-CN"/>
              </w:rPr>
              <w:t>重要环境因素识别、评价与实际吻合，运行控制和应急准备分别见E8.1和</w:t>
            </w:r>
            <w:r>
              <w:rPr>
                <w:rFonts w:hint="eastAsia" w:ascii="华文细黑" w:hAnsi="华文细黑" w:cs="华文细黑"/>
                <w:color w:val="auto"/>
                <w:sz w:val="21"/>
                <w:szCs w:val="21"/>
                <w:lang w:val="en-US" w:eastAsia="zh-CN"/>
              </w:rPr>
              <w:t>综合部</w:t>
            </w:r>
            <w:r>
              <w:rPr>
                <w:rFonts w:hint="eastAsia" w:ascii="华文细黑" w:hAnsi="华文细黑" w:eastAsia="华文细黑" w:cs="华文细黑"/>
                <w:color w:val="auto"/>
                <w:sz w:val="21"/>
                <w:szCs w:val="21"/>
                <w:lang w:val="en-US" w:eastAsia="zh-CN"/>
              </w:rPr>
              <w:t>E8.2，控制措施基本能够满足控制要求。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22" w:type="dxa"/>
          </w:tcPr>
          <w:p>
            <w:pPr>
              <w:spacing w:line="280" w:lineRule="exact"/>
              <w:rPr>
                <w:rFonts w:hint="eastAsia" w:ascii="华文细黑" w:hAnsi="华文细黑" w:cs="华文细黑"/>
                <w:sz w:val="21"/>
                <w:szCs w:val="21"/>
                <w:lang w:val="en-US" w:eastAsia="zh-CN"/>
              </w:rPr>
            </w:pPr>
            <w:r>
              <w:rPr>
                <w:rFonts w:hint="eastAsia"/>
                <w:sz w:val="21"/>
                <w:szCs w:val="21"/>
                <w:lang w:val="en-US" w:eastAsia="zh-CN"/>
              </w:rPr>
              <w:t>环保运行控制情况包括对相关方的要求和生命周期后期的环保要求</w:t>
            </w:r>
          </w:p>
        </w:tc>
        <w:tc>
          <w:tcPr>
            <w:tcW w:w="998" w:type="dxa"/>
          </w:tcPr>
          <w:p>
            <w:pPr>
              <w:spacing w:line="280" w:lineRule="exact"/>
              <w:rPr>
                <w:rFonts w:hint="default" w:ascii="华文细黑" w:hAnsi="华文细黑" w:cs="华文细黑"/>
                <w:sz w:val="21"/>
                <w:szCs w:val="21"/>
                <w:lang w:val="en-US" w:eastAsia="zh-CN"/>
              </w:rPr>
            </w:pPr>
            <w:r>
              <w:rPr>
                <w:rFonts w:hint="eastAsia" w:ascii="华文细黑" w:hAnsi="华文细黑" w:cs="华文细黑"/>
                <w:sz w:val="21"/>
                <w:szCs w:val="21"/>
                <w:lang w:val="en-US" w:eastAsia="zh-CN"/>
              </w:rPr>
              <w:t>E8.1</w:t>
            </w:r>
          </w:p>
        </w:tc>
        <w:tc>
          <w:tcPr>
            <w:tcW w:w="10004" w:type="dxa"/>
            <w:vAlign w:val="center"/>
          </w:tcPr>
          <w:p>
            <w:pPr>
              <w:spacing w:line="280" w:lineRule="exact"/>
              <w:ind w:firstLine="420" w:firstLineChars="200"/>
              <w:rPr>
                <w:rFonts w:hint="eastAsia"/>
                <w:lang w:val="en-US" w:eastAsia="zh-CN"/>
              </w:rPr>
            </w:pPr>
            <w:r>
              <w:rPr>
                <w:rFonts w:hint="eastAsia"/>
                <w:lang w:val="en-US" w:eastAsia="zh-CN"/>
              </w:rPr>
              <w:t>组织</w:t>
            </w:r>
            <w:r>
              <w:rPr>
                <w:rFonts w:hint="eastAsia"/>
              </w:rPr>
              <w:t>编制</w:t>
            </w:r>
            <w:r>
              <w:rPr>
                <w:rFonts w:hint="eastAsia"/>
                <w:lang w:val="en-US" w:eastAsia="zh-CN"/>
              </w:rPr>
              <w:t>的</w:t>
            </w:r>
            <w:r>
              <w:rPr>
                <w:rFonts w:hint="eastAsia"/>
              </w:rPr>
              <w:t>与环境管理体系运行控制有关的文件</w:t>
            </w:r>
            <w:r>
              <w:rPr>
                <w:rFonts w:hint="eastAsia"/>
                <w:lang w:val="en-US" w:eastAsia="zh-CN"/>
              </w:rPr>
              <w:t>主要包括</w:t>
            </w:r>
            <w:r>
              <w:rPr>
                <w:rFonts w:hint="eastAsia"/>
              </w:rPr>
              <w:t>《环境因素识别</w:t>
            </w:r>
            <w:r>
              <w:rPr>
                <w:rFonts w:hint="eastAsia"/>
                <w:lang w:val="en-US" w:eastAsia="zh-CN"/>
              </w:rPr>
              <w:t>与</w:t>
            </w:r>
            <w:r>
              <w:rPr>
                <w:rFonts w:hint="eastAsia"/>
              </w:rPr>
              <w:t>评价管理程序》、《对相关方施加影响管理程序》</w:t>
            </w:r>
            <w:r>
              <w:rPr>
                <w:rFonts w:hint="eastAsia"/>
                <w:lang w:eastAsia="zh-CN"/>
              </w:rPr>
              <w:t>、《</w:t>
            </w:r>
            <w:r>
              <w:rPr>
                <w:rFonts w:hint="eastAsia"/>
              </w:rPr>
              <w:t>合规性评价管理程序</w:t>
            </w:r>
            <w:r>
              <w:rPr>
                <w:rFonts w:hint="eastAsia"/>
                <w:lang w:eastAsia="zh-CN"/>
              </w:rPr>
              <w:t>》</w:t>
            </w:r>
            <w:r>
              <w:rPr>
                <w:rFonts w:hint="eastAsia"/>
              </w:rPr>
              <w:t>等</w:t>
            </w:r>
            <w:r>
              <w:rPr>
                <w:rFonts w:hint="eastAsia"/>
                <w:lang w:eastAsia="zh-CN"/>
              </w:rPr>
              <w:t>，</w:t>
            </w:r>
            <w:r>
              <w:rPr>
                <w:rFonts w:hint="eastAsia"/>
                <w:lang w:val="en-US" w:eastAsia="zh-CN"/>
              </w:rPr>
              <w:t>形成一系列记录</w:t>
            </w:r>
            <w:r>
              <w:rPr>
                <w:rFonts w:hint="eastAsia"/>
              </w:rPr>
              <w:t>。</w:t>
            </w:r>
            <w:r>
              <w:rPr>
                <w:rFonts w:hint="eastAsia"/>
                <w:lang w:val="en-US" w:eastAsia="zh-CN"/>
              </w:rPr>
              <w:t>现场审核发现情况如下：</w:t>
            </w:r>
          </w:p>
          <w:p>
            <w:pPr>
              <w:spacing w:line="280" w:lineRule="exact"/>
              <w:ind w:firstLine="420" w:firstLineChars="200"/>
              <w:rPr>
                <w:rFonts w:hint="eastAsia"/>
              </w:rPr>
            </w:pPr>
            <w:r>
              <w:rPr>
                <w:rFonts w:hint="eastAsia"/>
              </w:rPr>
              <w:t>1</w:t>
            </w:r>
            <w:r>
              <w:rPr>
                <w:rFonts w:hint="eastAsia"/>
                <w:lang w:val="en-US" w:eastAsia="zh-CN"/>
              </w:rPr>
              <w:t>.</w:t>
            </w:r>
            <w:r>
              <w:rPr>
                <w:rFonts w:hint="eastAsia"/>
              </w:rPr>
              <w:t>废水管控</w:t>
            </w:r>
          </w:p>
          <w:p>
            <w:pPr>
              <w:spacing w:line="280" w:lineRule="exact"/>
              <w:ind w:firstLine="420" w:firstLineChars="200"/>
              <w:rPr>
                <w:rFonts w:hint="eastAsia"/>
                <w:lang w:val="en-US"/>
              </w:rPr>
            </w:pPr>
            <w:r>
              <w:rPr>
                <w:rFonts w:hint="eastAsia"/>
              </w:rPr>
              <w:t>主要</w:t>
            </w:r>
            <w:r>
              <w:rPr>
                <w:rFonts w:hint="eastAsia"/>
                <w:lang w:val="en-US" w:eastAsia="zh-CN"/>
              </w:rPr>
              <w:t>为</w:t>
            </w:r>
            <w:r>
              <w:rPr>
                <w:rFonts w:hint="eastAsia"/>
              </w:rPr>
              <w:t>生活废水</w:t>
            </w:r>
            <w:r>
              <w:rPr>
                <w:rFonts w:hint="eastAsia"/>
                <w:lang w:eastAsia="zh-CN"/>
              </w:rPr>
              <w:t>，</w:t>
            </w:r>
            <w:r>
              <w:rPr>
                <w:rFonts w:hint="eastAsia"/>
                <w:lang w:val="en-US" w:eastAsia="zh-CN"/>
              </w:rPr>
              <w:t>经化粪池预处理后经污水官网排入湖州南浔振浔污水处理有限公司处理。</w:t>
            </w:r>
          </w:p>
          <w:p>
            <w:pPr>
              <w:spacing w:line="280" w:lineRule="exact"/>
              <w:ind w:firstLine="420" w:firstLineChars="200"/>
              <w:rPr>
                <w:rFonts w:hint="eastAsia"/>
              </w:rPr>
            </w:pPr>
            <w:r>
              <w:rPr>
                <w:rFonts w:hint="eastAsia"/>
              </w:rPr>
              <w:t>2</w:t>
            </w:r>
            <w:r>
              <w:rPr>
                <w:rFonts w:hint="eastAsia"/>
                <w:lang w:val="en-US" w:eastAsia="zh-CN"/>
              </w:rPr>
              <w:t>.</w:t>
            </w:r>
            <w:r>
              <w:rPr>
                <w:rFonts w:hint="eastAsia"/>
              </w:rPr>
              <w:t>废气管控</w:t>
            </w:r>
          </w:p>
          <w:p>
            <w:pPr>
              <w:spacing w:line="280" w:lineRule="exact"/>
              <w:ind w:firstLine="420" w:firstLineChars="200"/>
              <w:rPr>
                <w:rFonts w:hint="eastAsia"/>
                <w:lang w:val="en-US"/>
              </w:rPr>
            </w:pPr>
            <w:r>
              <w:rPr>
                <w:rFonts w:hint="eastAsia"/>
              </w:rPr>
              <w:t>办公现场基本无废气排放</w:t>
            </w:r>
            <w:r>
              <w:rPr>
                <w:rFonts w:hint="eastAsia"/>
                <w:lang w:eastAsia="zh-CN"/>
              </w:rPr>
              <w:t>；</w:t>
            </w:r>
            <w:r>
              <w:rPr>
                <w:rFonts w:hint="eastAsia"/>
                <w:lang w:val="en-US" w:eastAsia="zh-CN"/>
              </w:rPr>
              <w:t>其它废气管控记录见生产部E8.1。</w:t>
            </w:r>
          </w:p>
          <w:p>
            <w:pPr>
              <w:spacing w:line="280" w:lineRule="exact"/>
              <w:ind w:firstLine="420" w:firstLineChars="200"/>
              <w:rPr>
                <w:rFonts w:hint="eastAsia"/>
              </w:rPr>
            </w:pPr>
            <w:r>
              <w:rPr>
                <w:rFonts w:hint="eastAsia"/>
              </w:rPr>
              <w:t>3</w:t>
            </w:r>
            <w:r>
              <w:rPr>
                <w:rFonts w:hint="eastAsia"/>
                <w:lang w:val="en-US" w:eastAsia="zh-CN"/>
              </w:rPr>
              <w:t>.</w:t>
            </w:r>
            <w:r>
              <w:rPr>
                <w:rFonts w:hint="eastAsia"/>
              </w:rPr>
              <w:t>噪声管控</w:t>
            </w:r>
          </w:p>
          <w:p>
            <w:pPr>
              <w:spacing w:line="280" w:lineRule="exact"/>
              <w:ind w:firstLine="420" w:firstLineChars="200"/>
              <w:rPr>
                <w:rFonts w:hint="eastAsia"/>
              </w:rPr>
            </w:pPr>
            <w:r>
              <w:rPr>
                <w:rFonts w:hint="eastAsia"/>
                <w:lang w:val="en-US" w:eastAsia="zh-CN"/>
              </w:rPr>
              <w:t>噪声主要产生于生产车间，见生产部E8.1记录</w:t>
            </w:r>
            <w:r>
              <w:rPr>
                <w:rFonts w:hint="eastAsia"/>
              </w:rPr>
              <w:t>。</w:t>
            </w:r>
          </w:p>
          <w:p>
            <w:pPr>
              <w:spacing w:line="280" w:lineRule="exact"/>
              <w:ind w:firstLine="420" w:firstLineChars="200"/>
              <w:rPr>
                <w:rFonts w:hint="eastAsia"/>
              </w:rPr>
            </w:pPr>
            <w:r>
              <w:rPr>
                <w:rFonts w:hint="eastAsia"/>
              </w:rPr>
              <w:t>4</w:t>
            </w:r>
            <w:r>
              <w:rPr>
                <w:rFonts w:hint="eastAsia"/>
                <w:lang w:val="en-US" w:eastAsia="zh-CN"/>
              </w:rPr>
              <w:t>.</w:t>
            </w:r>
            <w:r>
              <w:rPr>
                <w:rFonts w:hint="eastAsia"/>
              </w:rPr>
              <w:t>固废管控</w:t>
            </w:r>
          </w:p>
          <w:p>
            <w:pPr>
              <w:spacing w:line="280" w:lineRule="exact"/>
              <w:ind w:firstLine="420" w:firstLineChars="200"/>
              <w:rPr>
                <w:rFonts w:hint="default"/>
                <w:lang w:val="en-US" w:eastAsia="zh-CN"/>
              </w:rPr>
            </w:pPr>
            <w:r>
              <w:rPr>
                <w:rFonts w:hint="eastAsia"/>
                <w:lang w:val="en-US" w:eastAsia="zh-CN"/>
              </w:rPr>
              <w:t>固废</w:t>
            </w:r>
            <w:r>
              <w:rPr>
                <w:rFonts w:hint="eastAsia"/>
              </w:rPr>
              <w:t>主要</w:t>
            </w:r>
            <w:r>
              <w:rPr>
                <w:rFonts w:hint="eastAsia"/>
                <w:lang w:val="en-US" w:eastAsia="zh-CN"/>
              </w:rPr>
              <w:t>包括</w:t>
            </w:r>
            <w:r>
              <w:rPr>
                <w:rFonts w:hint="eastAsia"/>
              </w:rPr>
              <w:t>生活垃圾</w:t>
            </w:r>
            <w:r>
              <w:rPr>
                <w:rFonts w:hint="eastAsia"/>
                <w:lang w:eastAsia="zh-CN"/>
              </w:rPr>
              <w:t>，</w:t>
            </w:r>
            <w:r>
              <w:rPr>
                <w:rFonts w:hint="eastAsia"/>
                <w:lang w:val="en-US" w:eastAsia="zh-CN"/>
              </w:rPr>
              <w:t>分类存放并由当环卫部门清运。</w:t>
            </w:r>
          </w:p>
          <w:p>
            <w:pPr>
              <w:spacing w:line="280" w:lineRule="exact"/>
              <w:ind w:firstLine="420" w:firstLineChars="200"/>
              <w:rPr>
                <w:rFonts w:hint="eastAsia"/>
              </w:rPr>
            </w:pPr>
            <w:r>
              <w:rPr>
                <w:rFonts w:hint="eastAsia"/>
                <w:lang w:val="en-US" w:eastAsia="zh-CN"/>
              </w:rPr>
              <w:t>5.</w:t>
            </w:r>
            <w:r>
              <w:rPr>
                <w:rFonts w:hint="eastAsia"/>
              </w:rPr>
              <w:t>能源资源管控</w:t>
            </w:r>
          </w:p>
          <w:p>
            <w:pPr>
              <w:spacing w:line="280" w:lineRule="exact"/>
              <w:ind w:firstLine="420" w:firstLineChars="200"/>
              <w:rPr>
                <w:rFonts w:hint="eastAsia"/>
              </w:rPr>
            </w:pPr>
            <w:r>
              <w:rPr>
                <w:rFonts w:hint="eastAsia"/>
                <w:lang w:val="en-US" w:eastAsia="zh-CN"/>
              </w:rPr>
              <w:t>工作环节</w:t>
            </w:r>
            <w:r>
              <w:rPr>
                <w:rFonts w:hint="eastAsia"/>
              </w:rPr>
              <w:t>注意节水、节电、节油，人走关闭开关，未发现有漏水和浪费电能的现象。</w:t>
            </w:r>
          </w:p>
          <w:p>
            <w:pPr>
              <w:spacing w:line="280" w:lineRule="exact"/>
              <w:ind w:firstLine="420" w:firstLineChars="200"/>
              <w:rPr>
                <w:rFonts w:hint="eastAsia"/>
              </w:rPr>
            </w:pPr>
            <w:r>
              <w:rPr>
                <w:rFonts w:hint="eastAsia"/>
              </w:rPr>
              <w:t>6</w:t>
            </w:r>
            <w:r>
              <w:rPr>
                <w:rFonts w:hint="eastAsia"/>
                <w:lang w:eastAsia="zh-CN"/>
              </w:rPr>
              <w:t>.</w:t>
            </w:r>
            <w:r>
              <w:rPr>
                <w:rFonts w:hint="eastAsia"/>
              </w:rPr>
              <w:t>潜在火灾管控</w:t>
            </w:r>
          </w:p>
          <w:p>
            <w:pPr>
              <w:spacing w:line="280" w:lineRule="exact"/>
              <w:ind w:firstLine="420" w:firstLineChars="200"/>
              <w:rPr>
                <w:rFonts w:hint="eastAsia"/>
                <w:lang w:val="en-US" w:eastAsia="zh-CN"/>
              </w:rPr>
            </w:pPr>
            <w:r>
              <w:rPr>
                <w:rFonts w:hint="eastAsia"/>
                <w:lang w:val="en-US" w:eastAsia="zh-CN"/>
              </w:rPr>
              <w:t>办公区域</w:t>
            </w:r>
            <w:r>
              <w:rPr>
                <w:rFonts w:hint="eastAsia"/>
              </w:rPr>
              <w:t>配有灭火器</w:t>
            </w:r>
            <w:r>
              <w:rPr>
                <w:rFonts w:hint="eastAsia"/>
                <w:lang w:val="en-US" w:eastAsia="zh-CN"/>
              </w:rPr>
              <w:t>和消防栓</w:t>
            </w:r>
            <w:r>
              <w:rPr>
                <w:rFonts w:hint="eastAsia"/>
                <w:lang w:eastAsia="zh-CN"/>
              </w:rPr>
              <w:t>，</w:t>
            </w:r>
            <w:r>
              <w:rPr>
                <w:rFonts w:hint="eastAsia"/>
                <w:lang w:val="en-US" w:eastAsia="zh-CN"/>
              </w:rPr>
              <w:t>统一按月检查灭火器材的状态</w:t>
            </w:r>
            <w:r>
              <w:rPr>
                <w:rFonts w:hint="eastAsia"/>
              </w:rPr>
              <w:t>。</w:t>
            </w:r>
            <w:r>
              <w:rPr>
                <w:rFonts w:hint="eastAsia"/>
                <w:lang w:val="en-US" w:eastAsia="zh-CN"/>
              </w:rPr>
              <w:t>紧急情况应对见E8.2。</w:t>
            </w:r>
          </w:p>
          <w:p>
            <w:pPr>
              <w:numPr>
                <w:numId w:val="0"/>
              </w:numPr>
              <w:spacing w:line="280" w:lineRule="exact"/>
              <w:ind w:firstLine="420" w:firstLineChars="200"/>
              <w:rPr>
                <w:rFonts w:hint="eastAsia"/>
                <w:color w:val="FF0000"/>
                <w:lang w:val="en-US" w:eastAsia="zh-CN"/>
              </w:rPr>
            </w:pPr>
            <w:r>
              <w:rPr>
                <w:rFonts w:hint="eastAsia"/>
                <w:color w:val="FF0000"/>
                <w:lang w:val="en-US" w:eastAsia="zh-CN"/>
              </w:rPr>
              <w:t>7.生命周期管理</w:t>
            </w:r>
          </w:p>
          <w:p>
            <w:pPr>
              <w:numPr>
                <w:numId w:val="0"/>
              </w:numPr>
              <w:spacing w:line="280" w:lineRule="exact"/>
              <w:rPr>
                <w:rFonts w:hint="default"/>
                <w:lang w:val="en-US" w:eastAsia="zh-CN"/>
              </w:rPr>
            </w:pPr>
            <w:r>
              <w:rPr>
                <w:rFonts w:hint="eastAsia"/>
                <w:lang w:val="en-US" w:eastAsia="zh-CN"/>
              </w:rPr>
              <w:t xml:space="preserve">    </w:t>
            </w:r>
          </w:p>
          <w:p>
            <w:pPr>
              <w:numPr>
                <w:numId w:val="0"/>
              </w:numPr>
              <w:spacing w:line="280" w:lineRule="exact"/>
              <w:rPr>
                <w:rFonts w:hint="default"/>
                <w:lang w:val="en-US" w:eastAsia="zh-CN"/>
              </w:rPr>
            </w:pPr>
            <w:r>
              <w:rPr>
                <w:rFonts w:hint="eastAsia"/>
                <w:lang w:val="en-US" w:eastAsia="zh-CN"/>
              </w:rPr>
              <w:t xml:space="preserve">    </w:t>
            </w:r>
          </w:p>
        </w:tc>
        <w:tc>
          <w:tcPr>
            <w:tcW w:w="1585" w:type="dxa"/>
          </w:tcPr>
          <w:p>
            <w:pPr>
              <w:rPr>
                <w:rFonts w:hint="default"/>
                <w:lang w:val="en-US" w:eastAsia="zh-CN"/>
              </w:rPr>
            </w:pPr>
            <w:r>
              <w:rPr>
                <w:rFonts w:hint="eastAsia"/>
                <w:lang w:val="en-US" w:eastAsia="zh-CN"/>
              </w:rPr>
              <w:t>Y</w:t>
            </w:r>
            <w:bookmarkStart w:id="0" w:name="_GoBack"/>
            <w:bookmarkEnd w:id="0"/>
          </w:p>
        </w:tc>
      </w:tr>
    </w:tbl>
    <w:p>
      <w:pPr>
        <w:pStyle w:val="6"/>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17DF2"/>
    <w:multiLevelType w:val="singleLevel"/>
    <w:tmpl w:val="F0317D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861CC"/>
    <w:rsid w:val="000A75BA"/>
    <w:rsid w:val="000B0CD5"/>
    <w:rsid w:val="000B6409"/>
    <w:rsid w:val="000F14E3"/>
    <w:rsid w:val="00115E0C"/>
    <w:rsid w:val="00121BF2"/>
    <w:rsid w:val="001311B9"/>
    <w:rsid w:val="00133E72"/>
    <w:rsid w:val="00140940"/>
    <w:rsid w:val="00140A69"/>
    <w:rsid w:val="0016036E"/>
    <w:rsid w:val="001937C7"/>
    <w:rsid w:val="001945D7"/>
    <w:rsid w:val="001979E1"/>
    <w:rsid w:val="001A05B6"/>
    <w:rsid w:val="001A3B63"/>
    <w:rsid w:val="001C57A3"/>
    <w:rsid w:val="001F0E7B"/>
    <w:rsid w:val="002533F4"/>
    <w:rsid w:val="00273847"/>
    <w:rsid w:val="002871F4"/>
    <w:rsid w:val="00287457"/>
    <w:rsid w:val="002B36EC"/>
    <w:rsid w:val="002C22A6"/>
    <w:rsid w:val="002E29A0"/>
    <w:rsid w:val="002E55EA"/>
    <w:rsid w:val="002F05BD"/>
    <w:rsid w:val="003015FB"/>
    <w:rsid w:val="00321BEA"/>
    <w:rsid w:val="003273C2"/>
    <w:rsid w:val="003445A0"/>
    <w:rsid w:val="003541E0"/>
    <w:rsid w:val="00364D71"/>
    <w:rsid w:val="00382525"/>
    <w:rsid w:val="003840DB"/>
    <w:rsid w:val="00384FEF"/>
    <w:rsid w:val="00397D3F"/>
    <w:rsid w:val="003C12BB"/>
    <w:rsid w:val="003C254E"/>
    <w:rsid w:val="003C6170"/>
    <w:rsid w:val="003E434A"/>
    <w:rsid w:val="0042030E"/>
    <w:rsid w:val="00421E1B"/>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03AAF"/>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AF6FB0"/>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C1E1A"/>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F78EA"/>
    <w:rsid w:val="00F01C99"/>
    <w:rsid w:val="00F01F3E"/>
    <w:rsid w:val="00F05246"/>
    <w:rsid w:val="00F11424"/>
    <w:rsid w:val="00F13731"/>
    <w:rsid w:val="00F43CC1"/>
    <w:rsid w:val="00F5455B"/>
    <w:rsid w:val="00F62C59"/>
    <w:rsid w:val="00FB5026"/>
    <w:rsid w:val="00FB6FAA"/>
    <w:rsid w:val="00FF0A51"/>
    <w:rsid w:val="00FF1D21"/>
    <w:rsid w:val="015C3CE6"/>
    <w:rsid w:val="03DE78EB"/>
    <w:rsid w:val="041E548B"/>
    <w:rsid w:val="04E8180D"/>
    <w:rsid w:val="0548225D"/>
    <w:rsid w:val="059C6184"/>
    <w:rsid w:val="05F1642E"/>
    <w:rsid w:val="07155A95"/>
    <w:rsid w:val="071F001B"/>
    <w:rsid w:val="081E0896"/>
    <w:rsid w:val="095B3F2A"/>
    <w:rsid w:val="0A755CD1"/>
    <w:rsid w:val="0BFE1B0E"/>
    <w:rsid w:val="0DDA3736"/>
    <w:rsid w:val="0EA07167"/>
    <w:rsid w:val="0F360E40"/>
    <w:rsid w:val="11B57102"/>
    <w:rsid w:val="11B844E6"/>
    <w:rsid w:val="11BA3E21"/>
    <w:rsid w:val="13283979"/>
    <w:rsid w:val="14B556EA"/>
    <w:rsid w:val="157D6B63"/>
    <w:rsid w:val="15C70407"/>
    <w:rsid w:val="15FB3C44"/>
    <w:rsid w:val="16E82A85"/>
    <w:rsid w:val="172C45C6"/>
    <w:rsid w:val="17310702"/>
    <w:rsid w:val="182E39BC"/>
    <w:rsid w:val="18E63730"/>
    <w:rsid w:val="19AF5A77"/>
    <w:rsid w:val="1A8330B4"/>
    <w:rsid w:val="1AE334BF"/>
    <w:rsid w:val="1C1224AB"/>
    <w:rsid w:val="1D3B0149"/>
    <w:rsid w:val="1E740E53"/>
    <w:rsid w:val="1F8F5F24"/>
    <w:rsid w:val="1FCA360B"/>
    <w:rsid w:val="20340D02"/>
    <w:rsid w:val="2237586F"/>
    <w:rsid w:val="245F13B9"/>
    <w:rsid w:val="25B51A95"/>
    <w:rsid w:val="277B1EA4"/>
    <w:rsid w:val="2984154F"/>
    <w:rsid w:val="29CA0AEB"/>
    <w:rsid w:val="2A306760"/>
    <w:rsid w:val="2BBD52B7"/>
    <w:rsid w:val="2D314E05"/>
    <w:rsid w:val="2EEA15D4"/>
    <w:rsid w:val="2F010C8D"/>
    <w:rsid w:val="2F442FE7"/>
    <w:rsid w:val="3040495B"/>
    <w:rsid w:val="311372E9"/>
    <w:rsid w:val="315E4436"/>
    <w:rsid w:val="32504720"/>
    <w:rsid w:val="33E10ACB"/>
    <w:rsid w:val="35FA59C2"/>
    <w:rsid w:val="36341386"/>
    <w:rsid w:val="36977349"/>
    <w:rsid w:val="370B1400"/>
    <w:rsid w:val="37D20E57"/>
    <w:rsid w:val="389044E9"/>
    <w:rsid w:val="39FC4F8E"/>
    <w:rsid w:val="3C37397E"/>
    <w:rsid w:val="3D457AB4"/>
    <w:rsid w:val="3ED90C45"/>
    <w:rsid w:val="3EED7927"/>
    <w:rsid w:val="3F055FB6"/>
    <w:rsid w:val="41D20C59"/>
    <w:rsid w:val="45224C47"/>
    <w:rsid w:val="452D7F1C"/>
    <w:rsid w:val="458A74DF"/>
    <w:rsid w:val="48612B74"/>
    <w:rsid w:val="4C3D4515"/>
    <w:rsid w:val="4CC0267D"/>
    <w:rsid w:val="4D6B0099"/>
    <w:rsid w:val="4DED56EF"/>
    <w:rsid w:val="4F660E4F"/>
    <w:rsid w:val="50F8218C"/>
    <w:rsid w:val="5109500C"/>
    <w:rsid w:val="515F763E"/>
    <w:rsid w:val="51B03D51"/>
    <w:rsid w:val="53266E1D"/>
    <w:rsid w:val="54451B66"/>
    <w:rsid w:val="54DF1EFD"/>
    <w:rsid w:val="552C2EC0"/>
    <w:rsid w:val="592F781C"/>
    <w:rsid w:val="5BD930EE"/>
    <w:rsid w:val="5CBC0B08"/>
    <w:rsid w:val="5ED658B5"/>
    <w:rsid w:val="5F614678"/>
    <w:rsid w:val="614442C4"/>
    <w:rsid w:val="64375CD3"/>
    <w:rsid w:val="648D381C"/>
    <w:rsid w:val="655B398A"/>
    <w:rsid w:val="656653BA"/>
    <w:rsid w:val="65F6716B"/>
    <w:rsid w:val="68764A3D"/>
    <w:rsid w:val="6A3A3731"/>
    <w:rsid w:val="6F65135D"/>
    <w:rsid w:val="6FD164AB"/>
    <w:rsid w:val="70C76378"/>
    <w:rsid w:val="71BB090C"/>
    <w:rsid w:val="723149B9"/>
    <w:rsid w:val="72851A38"/>
    <w:rsid w:val="728C7879"/>
    <w:rsid w:val="728E539F"/>
    <w:rsid w:val="73431E1F"/>
    <w:rsid w:val="73534DA6"/>
    <w:rsid w:val="735F2F7A"/>
    <w:rsid w:val="745D6C10"/>
    <w:rsid w:val="747D06DB"/>
    <w:rsid w:val="748F67EB"/>
    <w:rsid w:val="75B32764"/>
    <w:rsid w:val="767174B1"/>
    <w:rsid w:val="78322549"/>
    <w:rsid w:val="789A780E"/>
    <w:rsid w:val="793547C6"/>
    <w:rsid w:val="794A137F"/>
    <w:rsid w:val="7AD97E9C"/>
    <w:rsid w:val="7B4668E2"/>
    <w:rsid w:val="7B7F28B3"/>
    <w:rsid w:val="7BAD6F9E"/>
    <w:rsid w:val="7C5733F0"/>
    <w:rsid w:val="7C6F4ABE"/>
    <w:rsid w:val="7D323AFB"/>
    <w:rsid w:val="7D9113F4"/>
    <w:rsid w:val="7D923F5F"/>
    <w:rsid w:val="7E365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ascii="Arial" w:hAnsi="Arial" w:eastAsia="楷体_GB2312"/>
      <w:spacing w:val="20"/>
      <w:sz w:val="24"/>
      <w:szCs w:val="20"/>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7"/>
    <w:qFormat/>
    <w:uiPriority w:val="99"/>
    <w:rPr>
      <w:rFonts w:ascii="Times New Roman" w:hAnsi="Times New Roman" w:eastAsia="宋体" w:cs="Times New Roman"/>
      <w:sz w:val="18"/>
      <w:szCs w:val="18"/>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paragraph" w:customStyle="1" w:styleId="17">
    <w:name w:val="正文 + 楷体_GB2312"/>
    <w:basedOn w:val="1"/>
    <w:qFormat/>
    <w:uiPriority w:val="0"/>
    <w:pPr>
      <w:ind w:firstLine="630" w:firstLineChars="300"/>
    </w:pPr>
    <w:rPr>
      <w:rFonts w:ascii="楷体_GB2312" w:eastAsia="楷体_GB231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2582</Words>
  <Characters>2792</Characters>
  <Lines>23</Lines>
  <Paragraphs>6</Paragraphs>
  <TotalTime>1</TotalTime>
  <ScaleCrop>false</ScaleCrop>
  <LinksUpToDate>false</LinksUpToDate>
  <CharactersWithSpaces>2806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2022-07-21T12:09:20Z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71E8E3C7B1774F8E859668316F4A42D4</vt:lpwstr>
  </property>
</Properties>
</file>