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天津丞明会计师事务所(普通合伙)</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华苑产业区物华道2号A座4045室</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300384</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天津市河西区合肥道富力中心写字楼34层</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300384</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911201166974228358</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15822571531</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高咏</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阎宇彤</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审计服务、会计咨询、税务咨询、企业管理咨询、会计服务</w:t>
      </w:r>
      <w:bookmarkEnd w:id="14"/>
      <w:bookmarkStart w:id="15" w:name="_GoBack"/>
      <w:bookmarkStart w:id="16" w:name="审核范围英"/>
      <w:r>
        <w:rPr>
          <w:rFonts w:hint="eastAsia"/>
          <w:b/>
          <w:color w:val="000000" w:themeColor="text1"/>
          <w:sz w:val="22"/>
          <w:szCs w:val="22"/>
        </w:rPr>
        <w:t>审计服务、会计咨询、税务咨询、企业管理咨询、会计服务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