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0145-2021-QEOEnMS-2022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浙江华艺盛纺织股份有限公司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浙江华艺盛纺织股份有限公司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浙江省湖州市南浔区石淙镇镇西工业区588号</w:t>
            </w:r>
            <w:bookmarkEnd w:id="6"/>
          </w:p>
        </w:tc>
        <w:tc>
          <w:tcPr>
            <w:tcW w:w="1242" w:type="dxa"/>
            <w:vMerge w:val="restart"/>
            <w:vAlign w:val="center"/>
          </w:tcPr>
          <w:p>
            <w:r>
              <w:rPr>
                <w:rFonts w:hint="eastAsia"/>
              </w:rPr>
              <w:t>邮编</w:t>
            </w:r>
          </w:p>
        </w:tc>
        <w:tc>
          <w:tcPr>
            <w:tcW w:w="1771" w:type="dxa"/>
          </w:tcPr>
          <w:p>
            <w:bookmarkStart w:id="7" w:name="注册邮编"/>
            <w:r>
              <w:t>313014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浙江省湖州市南浔区石淙镇镇西工业区588号/浙江省湖州市南浔区善琏镇富祥路288号</w:t>
            </w:r>
            <w:bookmarkEnd w:id="8"/>
          </w:p>
        </w:tc>
        <w:tc>
          <w:tcPr>
            <w:tcW w:w="1242" w:type="dxa"/>
            <w:vMerge w:val="continue"/>
            <w:vAlign w:val="center"/>
          </w:tcPr>
          <w:p/>
        </w:tc>
        <w:tc>
          <w:tcPr>
            <w:tcW w:w="1771" w:type="dxa"/>
          </w:tcPr>
          <w:p>
            <w:bookmarkStart w:id="9" w:name="办公邮编"/>
            <w:r>
              <w:t>313014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谈雅梅</w:t>
            </w:r>
            <w:bookmarkEnd w:id="10"/>
          </w:p>
        </w:tc>
        <w:tc>
          <w:tcPr>
            <w:tcW w:w="1313" w:type="dxa"/>
            <w:vAlign w:val="center"/>
          </w:tcPr>
          <w:p>
            <w:r>
              <w:rPr>
                <w:rFonts w:hint="eastAsia"/>
              </w:rPr>
              <w:t>电话.</w:t>
            </w:r>
          </w:p>
        </w:tc>
        <w:tc>
          <w:tcPr>
            <w:tcW w:w="2180" w:type="dxa"/>
            <w:vAlign w:val="center"/>
          </w:tcPr>
          <w:p>
            <w:bookmarkStart w:id="11" w:name="联系人电话"/>
            <w:r>
              <w:t>15088390691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唐建根</w:t>
            </w:r>
            <w:bookmarkEnd w:id="13"/>
          </w:p>
        </w:tc>
        <w:tc>
          <w:tcPr>
            <w:tcW w:w="1313" w:type="dxa"/>
            <w:vAlign w:val="center"/>
          </w:tcPr>
          <w:p>
            <w:r>
              <w:rPr>
                <w:rFonts w:hint="eastAsia"/>
              </w:rPr>
              <w:t>管理者代表</w:t>
            </w:r>
          </w:p>
        </w:tc>
        <w:tc>
          <w:tcPr>
            <w:tcW w:w="2180" w:type="dxa"/>
          </w:tcPr>
          <w:p>
            <w:bookmarkStart w:id="14" w:name="管理者代表"/>
            <w:r>
              <w:t>唐建根</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280" w:lineRule="exact"/>
              <w:ind w:left="420" w:leftChars="200"/>
              <w:rPr>
                <w:rFonts w:ascii="宋体" w:hAnsi="宋体" w:cs="宋体"/>
                <w:szCs w:val="21"/>
              </w:rPr>
            </w:pPr>
            <w:r>
              <w:rPr>
                <w:rFonts w:hint="eastAsia" w:ascii="宋体" w:hAnsi="宋体" w:cs="宋体"/>
                <w:szCs w:val="21"/>
              </w:rPr>
              <w:t>1、胚布生产：纱</w:t>
            </w:r>
            <w:r>
              <w:rPr>
                <w:rFonts w:ascii="宋体" w:hAnsi="宋体" w:cs="宋体"/>
                <w:szCs w:val="21"/>
              </w:rPr>
              <w:sym w:font="Wingdings" w:char="F0E8"/>
            </w:r>
            <w:r>
              <w:rPr>
                <w:rFonts w:hint="eastAsia" w:ascii="宋体" w:hAnsi="宋体" w:cs="宋体"/>
                <w:szCs w:val="21"/>
              </w:rPr>
              <w:t>整经</w:t>
            </w:r>
            <w:r>
              <w:rPr>
                <w:rFonts w:ascii="宋体" w:hAnsi="宋体" w:cs="宋体"/>
                <w:szCs w:val="21"/>
              </w:rPr>
              <w:sym w:font="Wingdings" w:char="F0E8"/>
            </w:r>
            <w:r>
              <w:rPr>
                <w:rFonts w:hint="eastAsia" w:ascii="宋体" w:hAnsi="宋体" w:cs="宋体"/>
                <w:szCs w:val="21"/>
              </w:rPr>
              <w:t xml:space="preserve">织造 </w:t>
            </w:r>
            <w:r>
              <w:rPr>
                <w:rFonts w:ascii="宋体" w:hAnsi="宋体" w:cs="宋体"/>
                <w:szCs w:val="21"/>
              </w:rPr>
              <w:sym w:font="Wingdings" w:char="F0E8"/>
            </w:r>
            <w:r>
              <w:rPr>
                <w:rFonts w:hint="eastAsia" w:ascii="宋体" w:hAnsi="宋体" w:cs="宋体"/>
                <w:szCs w:val="21"/>
              </w:rPr>
              <w:t>坯布</w:t>
            </w:r>
          </w:p>
          <w:p>
            <w:pPr>
              <w:spacing w:line="280" w:lineRule="exact"/>
              <w:ind w:left="420" w:leftChars="200"/>
            </w:pPr>
            <w:r>
              <w:rPr>
                <w:rFonts w:hint="eastAsia" w:ascii="宋体" w:hAnsi="宋体" w:cs="宋体"/>
                <w:szCs w:val="21"/>
              </w:rPr>
              <w:t>2、围巾、丝巾生产：坯布</w:t>
            </w:r>
            <w:r>
              <w:rPr>
                <w:rFonts w:ascii="宋体" w:hAnsi="宋体" w:cs="宋体"/>
                <w:szCs w:val="21"/>
              </w:rPr>
              <w:sym w:font="Wingdings" w:char="F0E8"/>
            </w:r>
            <w:r>
              <w:rPr>
                <w:rFonts w:ascii="宋体" w:hAnsi="宋体" w:cs="宋体"/>
                <w:szCs w:val="21"/>
              </w:rPr>
              <w:t xml:space="preserve"> </w:t>
            </w:r>
            <w:r>
              <w:rPr>
                <w:rFonts w:hint="eastAsia" w:ascii="宋体" w:hAnsi="宋体" w:cs="宋体"/>
                <w:szCs w:val="21"/>
              </w:rPr>
              <w:t>前处理</w:t>
            </w:r>
            <w:r>
              <w:rPr>
                <w:rFonts w:ascii="宋体" w:hAnsi="宋体" w:cs="宋体"/>
                <w:szCs w:val="21"/>
              </w:rPr>
              <w:sym w:font="Wingdings" w:char="F0E8"/>
            </w:r>
            <w:r>
              <w:rPr>
                <w:rFonts w:hint="eastAsia" w:ascii="宋体" w:hAnsi="宋体" w:cs="宋体"/>
                <w:szCs w:val="21"/>
              </w:rPr>
              <w:t>2道清洗</w:t>
            </w:r>
            <w:r>
              <w:rPr>
                <w:rFonts w:ascii="宋体" w:hAnsi="宋体" w:cs="宋体"/>
                <w:szCs w:val="21"/>
              </w:rPr>
              <w:sym w:font="Wingdings" w:char="F0E8"/>
            </w:r>
            <w:r>
              <w:rPr>
                <w:rFonts w:hint="eastAsia" w:ascii="宋体" w:hAnsi="宋体" w:cs="宋体"/>
                <w:szCs w:val="21"/>
              </w:rPr>
              <w:t>脱水</w:t>
            </w:r>
            <w:r>
              <w:rPr>
                <w:rFonts w:ascii="宋体" w:hAnsi="宋体" w:cs="宋体"/>
                <w:szCs w:val="21"/>
              </w:rPr>
              <w:sym w:font="Wingdings" w:char="F0E8"/>
            </w:r>
            <w:r>
              <w:rPr>
                <w:rFonts w:hint="eastAsia" w:ascii="宋体" w:hAnsi="宋体" w:cs="宋体"/>
                <w:szCs w:val="21"/>
              </w:rPr>
              <w:t>染色</w:t>
            </w:r>
            <w:r>
              <w:rPr>
                <w:rFonts w:ascii="宋体" w:hAnsi="宋体" w:cs="宋体"/>
                <w:szCs w:val="21"/>
              </w:rPr>
              <w:sym w:font="Wingdings" w:char="F0E8"/>
            </w:r>
            <w:r>
              <w:rPr>
                <w:rFonts w:hint="eastAsia" w:ascii="宋体" w:hAnsi="宋体" w:cs="宋体"/>
                <w:szCs w:val="21"/>
              </w:rPr>
              <w:t>脱水</w:t>
            </w:r>
            <w:r>
              <w:rPr>
                <w:rFonts w:ascii="宋体" w:hAnsi="宋体" w:cs="宋体"/>
                <w:szCs w:val="21"/>
              </w:rPr>
              <w:sym w:font="Wingdings" w:char="F0E8"/>
            </w:r>
            <w:r>
              <w:rPr>
                <w:rFonts w:hint="eastAsia" w:ascii="宋体" w:hAnsi="宋体" w:cs="宋体"/>
                <w:szCs w:val="21"/>
              </w:rPr>
              <w:t>烘干</w:t>
            </w:r>
            <w:r>
              <w:rPr>
                <w:rFonts w:ascii="宋体" w:hAnsi="宋体" w:cs="宋体"/>
                <w:szCs w:val="21"/>
              </w:rPr>
              <w:sym w:font="Wingdings" w:char="F0E8"/>
            </w:r>
            <w:r>
              <w:rPr>
                <w:rFonts w:hint="eastAsia" w:ascii="宋体" w:hAnsi="宋体" w:cs="宋体"/>
                <w:szCs w:val="21"/>
              </w:rPr>
              <w:t>拉幅</w:t>
            </w:r>
            <w:r>
              <w:rPr>
                <w:rFonts w:ascii="宋体" w:hAnsi="宋体" w:cs="宋体"/>
                <w:szCs w:val="21"/>
              </w:rPr>
              <w:sym w:font="Wingdings" w:char="F0E8"/>
            </w:r>
            <w:r>
              <w:rPr>
                <w:rFonts w:hint="eastAsia" w:ascii="宋体" w:hAnsi="宋体" w:cs="宋体"/>
                <w:szCs w:val="21"/>
              </w:rPr>
              <w:t>开剪</w:t>
            </w:r>
            <w:r>
              <w:rPr>
                <w:rFonts w:ascii="宋体" w:hAnsi="宋体" w:cs="宋体"/>
                <w:szCs w:val="21"/>
              </w:rPr>
              <w:sym w:font="Wingdings" w:char="F0E8"/>
            </w:r>
            <w:r>
              <w:rPr>
                <w:rFonts w:hint="eastAsia" w:ascii="宋体" w:hAnsi="宋体" w:cs="宋体"/>
                <w:szCs w:val="21"/>
              </w:rPr>
              <w:t>缝边</w:t>
            </w:r>
            <w:r>
              <w:rPr>
                <w:rFonts w:ascii="宋体" w:hAnsi="宋体" w:cs="宋体"/>
                <w:szCs w:val="21"/>
              </w:rPr>
              <w:sym w:font="Wingdings" w:char="F0E8"/>
            </w:r>
            <w:r>
              <w:rPr>
                <w:rFonts w:hint="eastAsia" w:ascii="宋体" w:hAnsi="宋体" w:cs="宋体"/>
                <w:szCs w:val="21"/>
              </w:rPr>
              <w:t>检验</w:t>
            </w:r>
            <w:r>
              <w:rPr>
                <w:rFonts w:ascii="宋体" w:hAnsi="宋体" w:cs="宋体"/>
                <w:szCs w:val="21"/>
              </w:rPr>
              <w:sym w:font="Wingdings" w:char="F0E8"/>
            </w:r>
            <w:r>
              <w:rPr>
                <w:rFonts w:hint="eastAsia" w:ascii="宋体" w:hAnsi="宋体" w:cs="宋体"/>
                <w:szCs w:val="21"/>
              </w:rPr>
              <w:t>成品</w:t>
            </w:r>
            <w:r>
              <w:rPr>
                <w:rFonts w:ascii="宋体" w:hAnsi="宋体" w:cs="宋体"/>
                <w:szCs w:val="21"/>
              </w:rPr>
              <w:sym w:font="Wingdings" w:char="F0E8"/>
            </w:r>
            <w:r>
              <w:rPr>
                <w:rFonts w:hint="eastAsia" w:ascii="宋体" w:hAnsi="宋体" w:cs="宋体"/>
                <w:szCs w:val="21"/>
              </w:rPr>
              <w:t>包装</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2022年04月16日 上午至2022年04月17日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A3"/>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Q：胚布、围巾、丝巾的设计、生产</w:t>
            </w:r>
          </w:p>
          <w:p>
            <w:r>
              <w:t>E：胚布、围巾、丝巾的设计、生产所涉及场所的相关环境管理活动</w:t>
            </w:r>
          </w:p>
          <w:p>
            <w:r>
              <w:t>O：胚布、围巾、丝巾的设计、生产所涉及场所的相关职业健康安全管理活动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Q：04.02.00</w:t>
            </w:r>
          </w:p>
          <w:p>
            <w:r>
              <w:t>E：04.02.00</w:t>
            </w:r>
          </w:p>
          <w:p>
            <w:r>
              <w:t>O：04.02.00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10</w:t>
            </w:r>
            <w:r>
              <w:rPr>
                <w:rFonts w:hint="eastAsia"/>
              </w:rPr>
              <w:t>月</w:t>
            </w:r>
            <w:r>
              <w:rPr>
                <w:rFonts w:hint="eastAsia"/>
                <w:lang w:val="en-US" w:eastAsia="zh-CN"/>
              </w:rPr>
              <w:t>9</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27</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4</w:t>
            </w:r>
            <w:r>
              <w:rPr>
                <w:rFonts w:hint="eastAsia"/>
              </w:rPr>
              <w:t>月</w:t>
            </w:r>
            <w:r>
              <w:rPr>
                <w:rFonts w:hint="eastAsia"/>
                <w:lang w:val="en-US" w:eastAsia="zh-CN"/>
              </w:rPr>
              <w:t>11</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599"/>
        <w:gridCol w:w="187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599" w:type="dxa"/>
            <w:shd w:val="clear" w:color="auto" w:fill="F3F3F3"/>
            <w:tcMar>
              <w:left w:w="57" w:type="dxa"/>
              <w:right w:w="57" w:type="dxa"/>
            </w:tcMar>
          </w:tcPr>
          <w:p>
            <w:r>
              <w:rPr>
                <w:rFonts w:hint="eastAsia"/>
              </w:rPr>
              <w:t>审核范围（产品和过程）</w:t>
            </w:r>
          </w:p>
          <w:p/>
          <w:p/>
        </w:tc>
        <w:tc>
          <w:tcPr>
            <w:tcW w:w="187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浙江华艺盛纺织股份有限公司</w:t>
            </w:r>
            <w:r>
              <w:rPr>
                <w:rFonts w:hint="eastAsia"/>
                <w:lang w:val="en-US" w:eastAsia="zh-CN"/>
              </w:rPr>
              <w:t>/</w:t>
            </w:r>
            <w:r>
              <w:t>浙江省湖州市南浔区石淙镇镇西工业区588号</w:t>
            </w:r>
          </w:p>
        </w:tc>
        <w:tc>
          <w:tcPr>
            <w:tcW w:w="2267" w:type="dxa"/>
          </w:tcPr>
          <w:p>
            <w:pPr>
              <w:rPr>
                <w:lang w:val="de-DE" w:eastAsia="ja-JP"/>
              </w:rPr>
            </w:pPr>
            <w:r>
              <w:t>浙江省湖州市南浔区石淙镇镇西工业区588号</w:t>
            </w:r>
          </w:p>
        </w:tc>
        <w:tc>
          <w:tcPr>
            <w:tcW w:w="571" w:type="dxa"/>
            <w:vAlign w:val="center"/>
          </w:tcPr>
          <w:p>
            <w:pPr>
              <w:rPr>
                <w:lang w:eastAsia="ja-JP"/>
              </w:rPr>
            </w:pPr>
          </w:p>
        </w:tc>
        <w:tc>
          <w:tcPr>
            <w:tcW w:w="1599" w:type="dxa"/>
            <w:vAlign w:val="center"/>
          </w:tcPr>
          <w:p>
            <w:pPr>
              <w:rPr>
                <w:lang w:eastAsia="ja-JP"/>
              </w:rPr>
            </w:pPr>
            <w:r>
              <w:t>胚布、围巾、丝巾</w:t>
            </w:r>
          </w:p>
        </w:tc>
        <w:tc>
          <w:tcPr>
            <w:tcW w:w="1873" w:type="dxa"/>
            <w:vAlign w:val="center"/>
          </w:tcPr>
          <w:p>
            <w:pPr>
              <w:rPr>
                <w:rFonts w:hint="eastAsia"/>
                <w:lang w:val="en-US" w:eastAsia="zh-CN"/>
              </w:rPr>
            </w:pPr>
            <w:r>
              <w:rPr>
                <w:rFonts w:hint="eastAsia"/>
                <w:lang w:val="en-US" w:eastAsia="zh-CN"/>
              </w:rPr>
              <w:t>GB.T19001</w:t>
            </w:r>
          </w:p>
          <w:p>
            <w:pPr>
              <w:pStyle w:val="13"/>
              <w:rPr>
                <w:rFonts w:hint="eastAsia"/>
                <w:lang w:val="en-US" w:eastAsia="zh-CN"/>
              </w:rPr>
            </w:pPr>
            <w:r>
              <w:rPr>
                <w:rFonts w:hint="eastAsia"/>
                <w:lang w:val="en-US" w:eastAsia="zh-CN"/>
              </w:rPr>
              <w:t>GB/T24001</w:t>
            </w:r>
          </w:p>
          <w:p>
            <w:pPr>
              <w:pStyle w:val="13"/>
              <w:rPr>
                <w:rFonts w:hint="default"/>
                <w:lang w:val="en-US" w:eastAsia="zh-CN"/>
              </w:rPr>
            </w:pPr>
            <w:r>
              <w:rPr>
                <w:rFonts w:hint="eastAsia"/>
                <w:lang w:val="en-US" w:eastAsia="zh-CN"/>
              </w:rPr>
              <w:t>GB/T45001</w:t>
            </w:r>
          </w:p>
        </w:tc>
        <w:tc>
          <w:tcPr>
            <w:tcW w:w="668" w:type="dxa"/>
            <w:shd w:val="clear" w:color="auto" w:fill="FFFFFF"/>
          </w:tcPr>
          <w:p>
            <w:r>
              <w:rPr/>
              <w:sym w:font="Wingdings 2" w:char="0052"/>
            </w:r>
          </w:p>
          <w:p>
            <w:pPr>
              <w:pStyle w:val="13"/>
            </w:pPr>
            <w:r>
              <w:rPr/>
              <w:sym w:font="Wingdings 2" w:char="0052"/>
            </w:r>
          </w:p>
          <w:p>
            <w:pPr>
              <w:pStyle w:val="13"/>
            </w:pPr>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r>
              <w:t>浙江省湖州市南浔区善琏镇富祥路288号</w:t>
            </w:r>
          </w:p>
        </w:tc>
        <w:tc>
          <w:tcPr>
            <w:tcW w:w="571" w:type="dxa"/>
            <w:vAlign w:val="center"/>
          </w:tcPr>
          <w:p>
            <w:pPr>
              <w:rPr>
                <w:lang w:eastAsia="ja-JP"/>
              </w:rPr>
            </w:pPr>
          </w:p>
        </w:tc>
        <w:tc>
          <w:tcPr>
            <w:tcW w:w="1599" w:type="dxa"/>
            <w:vAlign w:val="center"/>
          </w:tcPr>
          <w:p>
            <w:pPr>
              <w:rPr>
                <w:lang w:eastAsia="ja-JP"/>
              </w:rPr>
            </w:pPr>
            <w:r>
              <w:t>围巾、丝巾</w:t>
            </w:r>
          </w:p>
        </w:tc>
        <w:tc>
          <w:tcPr>
            <w:tcW w:w="1873" w:type="dxa"/>
            <w:vAlign w:val="center"/>
          </w:tcPr>
          <w:p>
            <w:pPr>
              <w:rPr>
                <w:rFonts w:hint="eastAsia"/>
                <w:lang w:val="en-US" w:eastAsia="zh-CN"/>
              </w:rPr>
            </w:pPr>
            <w:r>
              <w:rPr>
                <w:rFonts w:hint="eastAsia"/>
                <w:lang w:val="en-US" w:eastAsia="zh-CN"/>
              </w:rPr>
              <w:t>GB.T19001</w:t>
            </w:r>
          </w:p>
          <w:p>
            <w:pPr>
              <w:pStyle w:val="13"/>
              <w:rPr>
                <w:rFonts w:hint="eastAsia"/>
                <w:lang w:val="en-US" w:eastAsia="zh-CN"/>
              </w:rPr>
            </w:pPr>
            <w:r>
              <w:rPr>
                <w:rFonts w:hint="eastAsia"/>
                <w:lang w:val="en-US" w:eastAsia="zh-CN"/>
              </w:rPr>
              <w:t>GB/T24001</w:t>
            </w:r>
          </w:p>
          <w:p>
            <w:pPr>
              <w:rPr>
                <w:lang w:eastAsia="ja-JP"/>
              </w:rPr>
            </w:pPr>
            <w:r>
              <w:rPr>
                <w:rFonts w:hint="eastAsia"/>
                <w:lang w:val="en-US" w:eastAsia="zh-CN"/>
              </w:rPr>
              <w:t>GB/T45001</w:t>
            </w:r>
          </w:p>
        </w:tc>
        <w:tc>
          <w:tcPr>
            <w:tcW w:w="668" w:type="dxa"/>
            <w:shd w:val="clear" w:color="auto" w:fill="FFFFFF"/>
          </w:tcPr>
          <w:p>
            <w:r>
              <w:rPr/>
              <w:sym w:font="Wingdings 2" w:char="0052"/>
            </w:r>
          </w:p>
          <w:p>
            <w:pPr>
              <w:pStyle w:val="13"/>
            </w:pPr>
            <w:r>
              <w:rPr/>
              <w:sym w:font="Wingdings 2" w:char="0052"/>
            </w:r>
          </w:p>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99" w:type="dxa"/>
            <w:vAlign w:val="center"/>
          </w:tcPr>
          <w:p>
            <w:pPr>
              <w:rPr>
                <w:lang w:eastAsia="ja-JP"/>
              </w:rPr>
            </w:pPr>
          </w:p>
        </w:tc>
        <w:tc>
          <w:tcPr>
            <w:tcW w:w="187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99" w:type="dxa"/>
            <w:vAlign w:val="center"/>
          </w:tcPr>
          <w:p>
            <w:pPr>
              <w:rPr>
                <w:lang w:eastAsia="ja-JP"/>
              </w:rPr>
            </w:pPr>
          </w:p>
        </w:tc>
        <w:tc>
          <w:tcPr>
            <w:tcW w:w="187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99" w:type="dxa"/>
            <w:vAlign w:val="center"/>
          </w:tcPr>
          <w:p>
            <w:pPr>
              <w:rPr>
                <w:lang w:eastAsia="ja-JP"/>
              </w:rPr>
            </w:pPr>
          </w:p>
        </w:tc>
        <w:tc>
          <w:tcPr>
            <w:tcW w:w="1873"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组长</w:t>
            </w:r>
          </w:p>
        </w:tc>
        <w:tc>
          <w:tcPr>
            <w:tcW w:w="711" w:type="dxa"/>
            <w:vAlign w:val="center"/>
          </w:tcPr>
          <w:p>
            <w:r>
              <w:t>男</w:t>
            </w:r>
          </w:p>
        </w:tc>
        <w:tc>
          <w:tcPr>
            <w:tcW w:w="3870" w:type="dxa"/>
            <w:vAlign w:val="center"/>
          </w:tcPr>
          <w:p>
            <w:r>
              <w:t>2021-N1QMS-5059501</w:t>
            </w:r>
          </w:p>
          <w:p>
            <w:r>
              <w:t>2020-N1EMS-3059501</w:t>
            </w:r>
          </w:p>
          <w:p>
            <w:r>
              <w:t>2019-N1OHSMS-2059501</w:t>
            </w:r>
          </w:p>
        </w:tc>
        <w:tc>
          <w:tcPr>
            <w:tcW w:w="2179" w:type="dxa"/>
            <w:vAlign w:val="center"/>
          </w:tcPr>
          <w:p>
            <w:r>
              <w:t>Q:04.02.00</w:t>
            </w:r>
          </w:p>
          <w:p>
            <w:r>
              <w:t>E:04.02.00</w:t>
            </w:r>
          </w:p>
          <w:p>
            <w:r>
              <w:t>O:04.02.00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王献华</w:t>
            </w:r>
          </w:p>
        </w:tc>
        <w:tc>
          <w:tcPr>
            <w:tcW w:w="1089" w:type="dxa"/>
            <w:vAlign w:val="center"/>
          </w:tcPr>
          <w:p>
            <w:r>
              <w:t>组员</w:t>
            </w:r>
          </w:p>
        </w:tc>
        <w:tc>
          <w:tcPr>
            <w:tcW w:w="711" w:type="dxa"/>
            <w:vAlign w:val="center"/>
          </w:tcPr>
          <w:p>
            <w:r>
              <w:t>男</w:t>
            </w:r>
          </w:p>
        </w:tc>
        <w:tc>
          <w:tcPr>
            <w:tcW w:w="3870" w:type="dxa"/>
            <w:vAlign w:val="center"/>
          </w:tcPr>
          <w:p>
            <w:r>
              <w:t>2021-N1QMS-1244982</w:t>
            </w:r>
          </w:p>
          <w:p>
            <w:r>
              <w:t>2021-N1EMS-1244982</w:t>
            </w:r>
          </w:p>
          <w:p>
            <w:r>
              <w:t>2021-N1OHSMS-1244982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w:t>
      </w:r>
      <w:r>
        <w:rPr>
          <w:rFonts w:hint="eastAsia"/>
          <w:lang w:val="en-US" w:eastAsia="zh-CN"/>
        </w:rPr>
        <w:t>1个</w:t>
      </w:r>
      <w:r>
        <w:rPr>
          <w:rFonts w:hint="eastAsia"/>
        </w:rPr>
        <w:t>不符合报告在5</w:t>
      </w:r>
      <w:r>
        <w:rPr>
          <w:rFonts w:hint="eastAsia"/>
          <w:lang w:val="en-US" w:eastAsia="zh-CN"/>
        </w:rPr>
        <w:t>个</w:t>
      </w:r>
      <w:r>
        <w:rPr>
          <w:rFonts w:hint="eastAsia"/>
        </w:rPr>
        <w:t>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bookmarkStart w:id="35" w:name="_GoBack"/>
            <w:bookmarkEnd w:id="35"/>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2336" behindDoc="1" locked="0" layoutInCell="1" allowOverlap="1">
                  <wp:simplePos x="0" y="0"/>
                  <wp:positionH relativeFrom="column">
                    <wp:posOffset>106680</wp:posOffset>
                  </wp:positionH>
                  <wp:positionV relativeFrom="paragraph">
                    <wp:posOffset>-22860</wp:posOffset>
                  </wp:positionV>
                  <wp:extent cx="716280" cy="518160"/>
                  <wp:effectExtent l="0" t="0" r="0" b="0"/>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6"/>
                          <a:stretch>
                            <a:fillRect/>
                          </a:stretch>
                        </pic:blipFill>
                        <pic:spPr>
                          <a:xfrm>
                            <a:off x="0" y="0"/>
                            <a:ext cx="716280" cy="51816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2022-4-17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A3"/>
            </w:r>
            <w:r>
              <w:rPr>
                <w:rFonts w:hint="eastAsia"/>
              </w:rPr>
              <w:t>知识保密</w:t>
            </w:r>
          </w:p>
          <w:p>
            <w:pPr>
              <w:shd w:val="clear" w:color="auto" w:fill="C7DAF1" w:themeFill="text2" w:themeFillTint="32"/>
              <w:spacing w:before="40" w:after="40"/>
            </w:pPr>
            <w:r>
              <w:rPr>
                <w:rFonts w:hint="eastAsia"/>
              </w:rPr>
              <w:sym w:font="Wingdings 2" w:char="0052"/>
            </w:r>
            <w:r>
              <w:rPr>
                <w:rFonts w:hint="eastAsia"/>
              </w:rPr>
              <w:t>新产品设计开发</w:t>
            </w:r>
            <w:r>
              <w:rPr>
                <w:rFonts w:hint="eastAsia"/>
              </w:rPr>
              <w:sym w:font="Wingdings 2" w:char="0052"/>
            </w:r>
            <w:r>
              <w:rPr>
                <w:rFonts w:hint="eastAsia"/>
              </w:rPr>
              <w:t>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最高管理者制定了文件化的管理体系方针：以产品质量为中心，以客户满意为宗旨</w:t>
            </w:r>
            <w:bookmarkStart w:id="34" w:name="OLE_LINK11"/>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规范操作，减少环境污染</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关爱生命，预防安全事故</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遵纪守法，追求不断改进</w:t>
            </w:r>
          </w:p>
          <w:bookmarkEnd w:id="34"/>
          <w:p>
            <w:pPr>
              <w:shd w:val="clear" w:color="auto" w:fill="C7DAF1" w:themeFill="text2" w:themeFillTint="32"/>
              <w:rPr>
                <w:rFonts w:hint="eastAsia" w:ascii="Times New Roman" w:hAnsi="Times New Roman" w:eastAsia="宋体" w:cs="Times New Roman"/>
                <w:lang w:val="en-GB"/>
              </w:rPr>
            </w:pPr>
          </w:p>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质检部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sz w:val="18"/>
                      <w:szCs w:val="18"/>
                    </w:rPr>
                  </w:pPr>
                  <w:r>
                    <w:rPr>
                      <w:rFonts w:hint="eastAsia"/>
                      <w:sz w:val="18"/>
                      <w:szCs w:val="18"/>
                    </w:rPr>
                    <w:t>主要的风险或机遇描述</w:t>
                  </w:r>
                </w:p>
              </w:tc>
              <w:tc>
                <w:tcPr>
                  <w:tcW w:w="3965" w:type="dxa"/>
                </w:tcPr>
                <w:p>
                  <w:pPr>
                    <w:shd w:val="clear" w:color="auto" w:fill="C7DAF1" w:themeFill="text2" w:themeFillTint="32"/>
                    <w:rPr>
                      <w:sz w:val="18"/>
                      <w:szCs w:val="18"/>
                    </w:rPr>
                  </w:pPr>
                  <w:r>
                    <w:rPr>
                      <w:rFonts w:hint="eastAsia"/>
                      <w:sz w:val="18"/>
                      <w:szCs w:val="18"/>
                    </w:rPr>
                    <w:t>应对措施</w:t>
                  </w:r>
                </w:p>
              </w:tc>
              <w:tc>
                <w:tcPr>
                  <w:tcW w:w="1717" w:type="dxa"/>
                </w:tcPr>
                <w:p>
                  <w:pPr>
                    <w:shd w:val="clear" w:color="auto" w:fill="C7DAF1" w:themeFill="text2" w:themeFillTint="32"/>
                    <w:rPr>
                      <w:sz w:val="18"/>
                      <w:szCs w:val="18"/>
                    </w:rPr>
                  </w:pPr>
                  <w:r>
                    <w:rPr>
                      <w:rFonts w:hint="eastAsia"/>
                      <w:sz w:val="18"/>
                      <w:szCs w:val="18"/>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sz w:val="18"/>
                      <w:szCs w:val="18"/>
                    </w:rPr>
                  </w:pPr>
                  <w:r>
                    <w:rPr>
                      <w:rFonts w:hint="eastAsia"/>
                      <w:sz w:val="18"/>
                      <w:szCs w:val="18"/>
                    </w:rPr>
                    <w:t>运营成本风险</w:t>
                  </w:r>
                </w:p>
              </w:tc>
              <w:tc>
                <w:tcPr>
                  <w:tcW w:w="3965" w:type="dxa"/>
                </w:tcPr>
                <w:p>
                  <w:pPr>
                    <w:shd w:val="clear" w:color="auto" w:fill="C7DAF1" w:themeFill="text2" w:themeFillTint="32"/>
                    <w:rPr>
                      <w:sz w:val="18"/>
                      <w:szCs w:val="18"/>
                    </w:rPr>
                  </w:pPr>
                  <w:r>
                    <w:rPr>
                      <w:rFonts w:hint="eastAsia"/>
                      <w:sz w:val="18"/>
                      <w:szCs w:val="18"/>
                    </w:rPr>
                    <w:t>公司对运营成本高的项目作出分析，采取有力的措施。</w:t>
                  </w: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sz w:val="18"/>
                      <w:szCs w:val="18"/>
                    </w:rPr>
                  </w:pPr>
                  <w:r>
                    <w:rPr>
                      <w:rFonts w:hint="eastAsia"/>
                      <w:sz w:val="18"/>
                      <w:szCs w:val="18"/>
                    </w:rPr>
                    <w:t>采购质量风险</w:t>
                  </w:r>
                </w:p>
              </w:tc>
              <w:tc>
                <w:tcPr>
                  <w:tcW w:w="3965" w:type="dxa"/>
                </w:tcPr>
                <w:p>
                  <w:pPr>
                    <w:shd w:val="clear" w:color="auto" w:fill="C7DAF1" w:themeFill="text2" w:themeFillTint="32"/>
                    <w:rPr>
                      <w:sz w:val="18"/>
                      <w:szCs w:val="18"/>
                    </w:rPr>
                  </w:pPr>
                  <w:r>
                    <w:rPr>
                      <w:rFonts w:hint="eastAsia"/>
                      <w:sz w:val="18"/>
                      <w:szCs w:val="18"/>
                    </w:rPr>
                    <w:t>新购设备，设备技改等，要求项目部相关人员制定方案，采取多方比较，综合考虑再决定采购。</w:t>
                  </w:r>
                </w:p>
              </w:tc>
              <w:tc>
                <w:tcPr>
                  <w:tcW w:w="1717" w:type="dxa"/>
                </w:tcPr>
                <w:p>
                  <w:pPr>
                    <w:shd w:val="clear" w:color="auto" w:fill="C7DAF1" w:themeFill="text2" w:themeFillTint="32"/>
                    <w:rPr>
                      <w:sz w:val="18"/>
                      <w:szCs w:val="18"/>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sz w:val="18"/>
                      <w:szCs w:val="18"/>
                    </w:rPr>
                  </w:pPr>
                  <w:r>
                    <w:rPr>
                      <w:rFonts w:hint="eastAsia"/>
                      <w:sz w:val="18"/>
                      <w:szCs w:val="18"/>
                    </w:rPr>
                    <w:t>产品定价风险</w:t>
                  </w:r>
                </w:p>
              </w:tc>
              <w:tc>
                <w:tcPr>
                  <w:tcW w:w="3965" w:type="dxa"/>
                </w:tcPr>
                <w:p>
                  <w:pPr>
                    <w:shd w:val="clear" w:color="auto" w:fill="C7DAF1" w:themeFill="text2" w:themeFillTint="32"/>
                    <w:rPr>
                      <w:sz w:val="18"/>
                      <w:szCs w:val="18"/>
                    </w:rPr>
                  </w:pPr>
                  <w:r>
                    <w:rPr>
                      <w:rFonts w:hint="eastAsia"/>
                      <w:sz w:val="18"/>
                      <w:szCs w:val="18"/>
                    </w:rPr>
                    <w:t>根据生产条件，原材料价格等制定销售价格，各部门综合评审制定价格。</w:t>
                  </w:r>
                </w:p>
              </w:tc>
              <w:tc>
                <w:tcPr>
                  <w:tcW w:w="1717" w:type="dxa"/>
                </w:tcPr>
                <w:p>
                  <w:pPr>
                    <w:shd w:val="clear" w:color="auto" w:fill="C7DAF1" w:themeFill="text2" w:themeFillTint="32"/>
                    <w:rPr>
                      <w:sz w:val="18"/>
                      <w:szCs w:val="18"/>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sz w:val="18"/>
                      <w:szCs w:val="18"/>
                    </w:rPr>
                  </w:pPr>
                  <w:r>
                    <w:rPr>
                      <w:rFonts w:hint="eastAsia"/>
                      <w:sz w:val="18"/>
                      <w:szCs w:val="18"/>
                    </w:rPr>
                    <w:t>质量风险</w:t>
                  </w:r>
                </w:p>
              </w:tc>
              <w:tc>
                <w:tcPr>
                  <w:tcW w:w="3965" w:type="dxa"/>
                </w:tcPr>
                <w:p>
                  <w:pPr>
                    <w:shd w:val="clear" w:color="auto" w:fill="C7DAF1" w:themeFill="text2" w:themeFillTint="32"/>
                    <w:rPr>
                      <w:sz w:val="18"/>
                      <w:szCs w:val="18"/>
                    </w:rPr>
                  </w:pPr>
                  <w:r>
                    <w:rPr>
                      <w:rFonts w:hint="eastAsia"/>
                      <w:sz w:val="18"/>
                      <w:szCs w:val="18"/>
                    </w:rPr>
                    <w:t>建立和运行（过程和产品的监视和测量控制程序）、（外部提供产品、服务和过程控制程序）（不合格输出控制程序）</w:t>
                  </w:r>
                </w:p>
              </w:tc>
              <w:tc>
                <w:tcPr>
                  <w:tcW w:w="1717" w:type="dxa"/>
                </w:tcPr>
                <w:p>
                  <w:pPr>
                    <w:shd w:val="clear" w:color="auto" w:fill="C7DAF1" w:themeFill="text2" w:themeFillTint="32"/>
                    <w:rPr>
                      <w:sz w:val="18"/>
                      <w:szCs w:val="18"/>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sz w:val="18"/>
                      <w:szCs w:val="18"/>
                    </w:rPr>
                  </w:pPr>
                  <w:r>
                    <w:rPr>
                      <w:rFonts w:hint="eastAsia"/>
                      <w:sz w:val="18"/>
                      <w:szCs w:val="18"/>
                    </w:rPr>
                    <w:t>合规应对风险</w:t>
                  </w:r>
                </w:p>
              </w:tc>
              <w:tc>
                <w:tcPr>
                  <w:tcW w:w="3965" w:type="dxa"/>
                </w:tcPr>
                <w:p>
                  <w:pPr>
                    <w:shd w:val="clear" w:color="auto" w:fill="C7DAF1" w:themeFill="text2" w:themeFillTint="32"/>
                    <w:rPr>
                      <w:sz w:val="18"/>
                      <w:szCs w:val="18"/>
                    </w:rPr>
                  </w:pPr>
                  <w:r>
                    <w:rPr>
                      <w:rFonts w:hint="eastAsia"/>
                      <w:sz w:val="18"/>
                      <w:szCs w:val="18"/>
                    </w:rPr>
                    <w:t>由行政部配合政府部门工作，加强工作联系。</w:t>
                  </w:r>
                </w:p>
              </w:tc>
              <w:tc>
                <w:tcPr>
                  <w:tcW w:w="1717" w:type="dxa"/>
                </w:tcPr>
                <w:p>
                  <w:pPr>
                    <w:shd w:val="clear" w:color="auto" w:fill="C7DAF1" w:themeFill="text2" w:themeFillTint="32"/>
                    <w:rPr>
                      <w:sz w:val="18"/>
                      <w:szCs w:val="18"/>
                    </w:rPr>
                  </w:pPr>
                  <w:r>
                    <w:rPr>
                      <w:rFonts w:hint="eastAsia"/>
                      <w:sz w:val="18"/>
                      <w:szCs w:val="18"/>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sz w:val="18"/>
                      <w:szCs w:val="18"/>
                    </w:rPr>
                  </w:pPr>
                  <w:r>
                    <w:rPr>
                      <w:rFonts w:hint="eastAsia" w:ascii="宋体" w:hAnsi="宋体"/>
                      <w:sz w:val="18"/>
                      <w:szCs w:val="18"/>
                    </w:rPr>
                    <w:t>质量目标</w:t>
                  </w:r>
                </w:p>
              </w:tc>
              <w:tc>
                <w:tcPr>
                  <w:tcW w:w="3136" w:type="dxa"/>
                  <w:shd w:val="clear" w:color="auto" w:fill="auto"/>
                </w:tcPr>
                <w:p>
                  <w:pPr>
                    <w:shd w:val="clear" w:color="auto" w:fill="C7DAF1" w:themeFill="text2" w:themeFillTint="32"/>
                    <w:rPr>
                      <w:rFonts w:ascii="宋体" w:hAnsi="宋体"/>
                      <w:sz w:val="18"/>
                      <w:szCs w:val="18"/>
                    </w:rPr>
                  </w:pPr>
                  <w:r>
                    <w:rPr>
                      <w:rFonts w:hint="eastAsia" w:ascii="宋体" w:hAnsi="宋体"/>
                      <w:sz w:val="18"/>
                      <w:szCs w:val="18"/>
                    </w:rPr>
                    <w:t>计算方法</w:t>
                  </w:r>
                </w:p>
              </w:tc>
              <w:tc>
                <w:tcPr>
                  <w:tcW w:w="1350" w:type="dxa"/>
                  <w:shd w:val="clear" w:color="auto" w:fill="auto"/>
                </w:tcPr>
                <w:p>
                  <w:pPr>
                    <w:shd w:val="clear" w:color="auto" w:fill="C7DAF1" w:themeFill="text2" w:themeFillTint="32"/>
                    <w:rPr>
                      <w:rFonts w:ascii="宋体" w:hAnsi="宋体"/>
                      <w:sz w:val="18"/>
                      <w:szCs w:val="18"/>
                    </w:rPr>
                  </w:pPr>
                  <w:r>
                    <w:rPr>
                      <w:rFonts w:hint="eastAsia" w:ascii="宋体" w:hAnsi="宋体"/>
                      <w:sz w:val="18"/>
                      <w:szCs w:val="18"/>
                    </w:rPr>
                    <w:t>责任部门</w:t>
                  </w:r>
                </w:p>
              </w:tc>
              <w:tc>
                <w:tcPr>
                  <w:tcW w:w="1774" w:type="dxa"/>
                  <w:shd w:val="clear" w:color="auto" w:fill="auto"/>
                </w:tcPr>
                <w:p>
                  <w:pPr>
                    <w:shd w:val="clear" w:color="auto" w:fill="C7DAF1" w:themeFill="text2" w:themeFillTint="32"/>
                    <w:rPr>
                      <w:rFonts w:ascii="宋体" w:hAnsi="宋体"/>
                      <w:sz w:val="18"/>
                      <w:szCs w:val="18"/>
                    </w:rPr>
                  </w:pPr>
                  <w:r>
                    <w:rPr>
                      <w:rFonts w:hint="eastAsia" w:ascii="宋体" w:hAnsi="宋体"/>
                      <w:sz w:val="18"/>
                      <w:szCs w:val="18"/>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黑体" w:hAnsi="Times New Roman" w:eastAsia="黑体" w:cs="Times New Roman"/>
                      <w:b/>
                      <w:bCs/>
                      <w:kern w:val="2"/>
                      <w:sz w:val="18"/>
                      <w:szCs w:val="18"/>
                      <w:lang w:val="en-US" w:eastAsia="zh-CN" w:bidi="ar-SA"/>
                    </w:rPr>
                  </w:pPr>
                  <w:r>
                    <w:rPr>
                      <w:rFonts w:hint="eastAsia" w:ascii="黑体" w:hAnsi="黑体" w:eastAsia="黑体" w:cs="黑体"/>
                      <w:sz w:val="18"/>
                      <w:szCs w:val="18"/>
                    </w:rPr>
                    <w:t>产品抽检合格率≥98%</w:t>
                  </w:r>
                </w:p>
              </w:tc>
              <w:tc>
                <w:tcPr>
                  <w:tcW w:w="3136" w:type="dxa"/>
                  <w:shd w:val="clear" w:color="auto" w:fill="auto"/>
                  <w:vAlign w:val="top"/>
                </w:tcPr>
                <w:p>
                  <w:pPr>
                    <w:shd w:val="clear" w:color="auto" w:fill="C7DAF1" w:themeFill="text2" w:themeFillTint="32"/>
                    <w:rPr>
                      <w:rFonts w:hint="default" w:ascii="Times New Roman" w:hAnsi="Times New Roman" w:eastAsia="宋体" w:cs="Times New Roman"/>
                      <w:kern w:val="2"/>
                      <w:sz w:val="18"/>
                      <w:szCs w:val="18"/>
                      <w:lang w:val="en-GB" w:eastAsia="zh-CN" w:bidi="ar-SA"/>
                    </w:rPr>
                  </w:pPr>
                  <w:r>
                    <w:rPr>
                      <w:rFonts w:hint="eastAsia"/>
                      <w:sz w:val="18"/>
                      <w:szCs w:val="18"/>
                      <w:lang w:val="en-US" w:eastAsia="zh-CN"/>
                    </w:rPr>
                    <w:t>统计检验数据，累计核算</w:t>
                  </w:r>
                </w:p>
              </w:tc>
              <w:tc>
                <w:tcPr>
                  <w:tcW w:w="1350" w:type="dxa"/>
                  <w:shd w:val="clear" w:color="auto" w:fill="auto"/>
                  <w:vAlign w:val="center"/>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质检部</w:t>
                  </w:r>
                </w:p>
              </w:tc>
              <w:tc>
                <w:tcPr>
                  <w:tcW w:w="1774" w:type="dxa"/>
                  <w:shd w:val="clear" w:color="auto" w:fill="auto"/>
                  <w:vAlign w:val="center"/>
                </w:tcPr>
                <w:p>
                  <w:pPr>
                    <w:shd w:val="clear" w:color="auto" w:fill="C7DAF1" w:themeFill="text2" w:themeFillTint="32"/>
                    <w:jc w:val="center"/>
                    <w:rPr>
                      <w:rFonts w:hint="eastAsia" w:ascii="宋体" w:hAnsi="宋体" w:eastAsia="宋体"/>
                      <w:sz w:val="18"/>
                      <w:szCs w:val="18"/>
                      <w:lang w:val="en-US" w:eastAsia="zh-CN"/>
                    </w:rPr>
                  </w:pPr>
                  <w:r>
                    <w:rPr>
                      <w:rFonts w:hint="eastAsia" w:ascii="宋体" w:hAnsi="宋体"/>
                      <w:sz w:val="18"/>
                      <w:szCs w:val="18"/>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440" w:lineRule="exact"/>
                    <w:rPr>
                      <w:rFonts w:hint="eastAsia" w:ascii="黑体" w:hAnsi="Times New Roman" w:eastAsia="黑体" w:cs="Times New Roman"/>
                      <w:b/>
                      <w:bCs/>
                      <w:kern w:val="2"/>
                      <w:sz w:val="18"/>
                      <w:szCs w:val="18"/>
                      <w:lang w:val="en-US" w:eastAsia="zh-CN" w:bidi="ar-SA"/>
                    </w:rPr>
                  </w:pPr>
                  <w:r>
                    <w:rPr>
                      <w:rFonts w:hint="eastAsia" w:ascii="黑体" w:hAnsi="黑体" w:eastAsia="黑体" w:cs="黑体"/>
                      <w:sz w:val="18"/>
                      <w:szCs w:val="18"/>
                    </w:rPr>
                    <w:t>顾客满意度≥90%</w:t>
                  </w:r>
                </w:p>
              </w:tc>
              <w:tc>
                <w:tcPr>
                  <w:tcW w:w="3136" w:type="dxa"/>
                  <w:shd w:val="clear" w:color="auto" w:fill="auto"/>
                  <w:vAlign w:val="top"/>
                </w:tcPr>
                <w:p>
                  <w:pPr>
                    <w:shd w:val="clear" w:color="auto" w:fill="C7DAF1" w:themeFill="text2" w:themeFillTint="32"/>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计算顾客调查表信息，累计计算</w:t>
                  </w:r>
                </w:p>
              </w:tc>
              <w:tc>
                <w:tcPr>
                  <w:tcW w:w="1350" w:type="dxa"/>
                  <w:shd w:val="clear" w:color="auto" w:fill="auto"/>
                  <w:vAlign w:val="center"/>
                </w:tcPr>
                <w:p>
                  <w:pPr>
                    <w:shd w:val="clear" w:color="auto" w:fill="C7DAF1" w:themeFill="text2" w:themeFillTint="32"/>
                    <w:rPr>
                      <w:rFonts w:hint="default" w:ascii="宋体" w:hAnsi="宋体" w:eastAsia="宋体"/>
                      <w:sz w:val="18"/>
                      <w:szCs w:val="18"/>
                      <w:lang w:val="en-US" w:eastAsia="zh-CN"/>
                    </w:rPr>
                  </w:pPr>
                  <w:r>
                    <w:rPr>
                      <w:rFonts w:hint="eastAsia" w:ascii="宋体" w:hAnsi="宋体"/>
                      <w:sz w:val="18"/>
                      <w:szCs w:val="18"/>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sz w:val="18"/>
                      <w:szCs w:val="18"/>
                    </w:rPr>
                  </w:pPr>
                  <w:r>
                    <w:rPr>
                      <w:rFonts w:hint="eastAsia" w:ascii="宋体" w:hAnsi="宋体"/>
                      <w:sz w:val="18"/>
                      <w:szCs w:val="18"/>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sz w:val="18"/>
                      <w:szCs w:val="18"/>
                    </w:rPr>
                  </w:pPr>
                </w:p>
              </w:tc>
              <w:tc>
                <w:tcPr>
                  <w:tcW w:w="3136" w:type="dxa"/>
                  <w:shd w:val="clear" w:color="auto" w:fill="auto"/>
                  <w:vAlign w:val="center"/>
                </w:tcPr>
                <w:p>
                  <w:pPr>
                    <w:shd w:val="clear" w:color="auto" w:fill="C7DAF1" w:themeFill="text2" w:themeFillTint="32"/>
                    <w:rPr>
                      <w:rFonts w:ascii="宋体" w:hAnsi="宋体"/>
                      <w:sz w:val="18"/>
                      <w:szCs w:val="18"/>
                    </w:rPr>
                  </w:pPr>
                </w:p>
              </w:tc>
              <w:tc>
                <w:tcPr>
                  <w:tcW w:w="1350" w:type="dxa"/>
                  <w:shd w:val="clear" w:color="auto" w:fill="auto"/>
                  <w:vAlign w:val="center"/>
                </w:tcPr>
                <w:p>
                  <w:pPr>
                    <w:shd w:val="clear" w:color="auto" w:fill="C7DAF1" w:themeFill="text2" w:themeFillTint="32"/>
                    <w:rPr>
                      <w:rFonts w:ascii="宋体" w:hAnsi="宋体"/>
                      <w:sz w:val="18"/>
                      <w:szCs w:val="18"/>
                    </w:rPr>
                  </w:pPr>
                </w:p>
              </w:tc>
              <w:tc>
                <w:tcPr>
                  <w:tcW w:w="1774" w:type="dxa"/>
                  <w:shd w:val="clear" w:color="auto" w:fill="auto"/>
                  <w:vAlign w:val="center"/>
                </w:tcPr>
                <w:p>
                  <w:pPr>
                    <w:shd w:val="clear" w:color="auto" w:fill="C7DAF1" w:themeFill="text2" w:themeFillTint="32"/>
                    <w:jc w:val="center"/>
                    <w:rPr>
                      <w:rFonts w:ascii="宋体" w:hAnsi="宋体"/>
                      <w:sz w:val="18"/>
                      <w:szCs w:val="18"/>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rPr>
                <w:rFonts w:hint="eastAsia"/>
                <w:lang w:val="en-US" w:eastAsia="zh-CN"/>
              </w:rPr>
            </w:pPr>
            <w:r>
              <w:rPr>
                <w:rFonts w:hint="eastAsia"/>
                <w:lang w:val="en-US" w:eastAsia="zh-CN"/>
              </w:rPr>
              <w:t xml:space="preserve">无重大变化 ； </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rFonts w:hint="default" w:eastAsia="宋体"/>
                <w:u w:val="single"/>
                <w:lang w:val="en-US" w:eastAsia="zh-CN"/>
              </w:rPr>
            </w:pPr>
            <w:r>
              <w:rPr>
                <w:rFonts w:hint="eastAsia"/>
              </w:rPr>
              <w:t>主要生产设备有：</w:t>
            </w:r>
            <w:r>
              <w:rPr>
                <w:rFonts w:hint="eastAsia"/>
                <w:lang w:val="en-US" w:eastAsia="zh-CN"/>
              </w:rPr>
              <w:t xml:space="preserve">印染生产线、坏布纺织机、缝纫机、绣花机等； </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rFonts w:hint="default" w:eastAsia="宋体"/>
                <w:u w:val="single"/>
                <w:lang w:val="en-US" w:eastAsia="zh-CN"/>
              </w:rPr>
            </w:pPr>
            <w:r>
              <w:rPr>
                <w:rFonts w:hint="eastAsia"/>
              </w:rPr>
              <w:t>国家强检的计量器具有：</w:t>
            </w:r>
            <w:r>
              <w:rPr>
                <w:rFonts w:hint="eastAsia"/>
                <w:lang w:val="en-US" w:eastAsia="zh-CN"/>
              </w:rPr>
              <w:t xml:space="preserve">压力表； </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w:t>
            </w:r>
            <w:r>
              <w:rPr>
                <w:rFonts w:hint="eastAsia"/>
              </w:rPr>
              <w:sym w:font="Wingdings 2" w:char="0052"/>
            </w:r>
            <w:r>
              <w:rPr>
                <w:rFonts w:hint="eastAsia"/>
              </w:rPr>
              <w:t>法律法规获取有遗漏，缺少：</w:t>
            </w:r>
            <w:r>
              <w:rPr>
                <w:rFonts w:hint="eastAsia"/>
                <w:lang w:val="en-US" w:eastAsia="zh-CN"/>
              </w:rPr>
              <w:t>《排污许可条例》、《建设项目环境保护分类管理名录》（2021年版）、《特种设备事故报告和调查处理规定》、《易制爆化学品目录》</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default" w:eastAsia="宋体"/>
                <w:lang w:val="en-US" w:eastAsia="zh-CN"/>
              </w:rPr>
            </w:pPr>
            <w:r>
              <w:rPr>
                <w:rFonts w:hint="eastAsia"/>
              </w:rPr>
              <w:t>审核期间内设计和开发新产品/项目名称：</w:t>
            </w:r>
            <w:r>
              <w:rPr>
                <w:rFonts w:hint="eastAsia"/>
                <w:u w:val="single"/>
                <w:lang w:val="en-US" w:eastAsia="zh-CN"/>
              </w:rPr>
              <w:t xml:space="preserve">穆斯林头巾； </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3721"/>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hd w:val="clear" w:color="auto" w:fill="C7DAF1" w:themeFill="text2" w:themeFillTint="32"/>
                    <w:jc w:val="left"/>
                  </w:pPr>
                  <w:r>
                    <w:rPr>
                      <w:rFonts w:hint="eastAsia"/>
                    </w:rPr>
                    <w:t>产品/服务名称</w:t>
                  </w:r>
                </w:p>
              </w:tc>
              <w:tc>
                <w:tcPr>
                  <w:tcW w:w="3721"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hd w:val="clear" w:color="auto" w:fill="C7DAF1" w:themeFill="text2" w:themeFillTint="32"/>
                    <w:jc w:val="left"/>
                    <w:rPr>
                      <w:rFonts w:hint="default" w:eastAsia="宋体"/>
                      <w:lang w:val="en-US" w:eastAsia="zh-CN"/>
                    </w:rPr>
                  </w:pPr>
                  <w:r>
                    <w:rPr>
                      <w:rFonts w:hint="eastAsia"/>
                      <w:lang w:val="en-US" w:eastAsia="zh-CN"/>
                    </w:rPr>
                    <w:t>坯布印染过程</w:t>
                  </w:r>
                </w:p>
              </w:tc>
              <w:tc>
                <w:tcPr>
                  <w:tcW w:w="3721" w:type="dxa"/>
                </w:tcPr>
                <w:p>
                  <w:pPr>
                    <w:shd w:val="clear" w:color="auto" w:fill="C7DAF1" w:themeFill="text2" w:themeFillTint="32"/>
                    <w:jc w:val="left"/>
                    <w:rPr>
                      <w:rFonts w:hint="default" w:eastAsia="宋体"/>
                      <w:lang w:val="en-US" w:eastAsia="zh-CN"/>
                    </w:rPr>
                  </w:pPr>
                  <w:r>
                    <w:rPr>
                      <w:rFonts w:hint="eastAsia"/>
                      <w:lang w:val="en-US" w:eastAsia="zh-CN"/>
                    </w:rPr>
                    <w:t>染料配制</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品名及浓度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hd w:val="clear" w:color="auto" w:fill="C7DAF1" w:themeFill="text2" w:themeFillTint="32"/>
                    <w:jc w:val="left"/>
                    <w:rPr>
                      <w:rFonts w:hint="default" w:eastAsia="宋体"/>
                      <w:lang w:val="en-US" w:eastAsia="zh-CN"/>
                    </w:rPr>
                  </w:pPr>
                  <w:r>
                    <w:rPr>
                      <w:rFonts w:hint="eastAsia"/>
                      <w:lang w:val="en-US" w:eastAsia="zh-CN"/>
                    </w:rPr>
                    <w:t>坯布印染过程</w:t>
                  </w:r>
                </w:p>
              </w:tc>
              <w:tc>
                <w:tcPr>
                  <w:tcW w:w="3721" w:type="dxa"/>
                </w:tcPr>
                <w:p>
                  <w:pPr>
                    <w:shd w:val="clear" w:color="auto" w:fill="C7DAF1" w:themeFill="text2" w:themeFillTint="32"/>
                    <w:jc w:val="left"/>
                  </w:pPr>
                  <w:r>
                    <w:rPr>
                      <w:rFonts w:hint="eastAsia"/>
                      <w:lang w:val="en-US" w:eastAsia="zh-CN"/>
                    </w:rPr>
                    <w:t>染整传输</w:t>
                  </w:r>
                </w:p>
              </w:tc>
              <w:tc>
                <w:tcPr>
                  <w:tcW w:w="3265" w:type="dxa"/>
                </w:tcPr>
                <w:p>
                  <w:pPr>
                    <w:shd w:val="clear" w:color="auto" w:fill="C7DAF1" w:themeFill="text2" w:themeFillTint="32"/>
                    <w:jc w:val="left"/>
                  </w:pPr>
                  <w:r>
                    <w:rPr>
                      <w:rFonts w:hint="eastAsia"/>
                      <w:sz w:val="24"/>
                    </w:rPr>
                    <w:t>米数、条数、位移量、条宽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hd w:val="clear" w:color="auto" w:fill="C7DAF1" w:themeFill="text2" w:themeFillTint="32"/>
                    <w:jc w:val="left"/>
                  </w:pPr>
                  <w:r>
                    <w:rPr>
                      <w:rFonts w:hint="eastAsia"/>
                      <w:lang w:val="en-US" w:eastAsia="zh-CN"/>
                    </w:rPr>
                    <w:t>坯布印染过程</w:t>
                  </w:r>
                </w:p>
              </w:tc>
              <w:tc>
                <w:tcPr>
                  <w:tcW w:w="3721" w:type="dxa"/>
                </w:tcPr>
                <w:p>
                  <w:pPr>
                    <w:shd w:val="clear" w:color="auto" w:fill="C7DAF1" w:themeFill="text2" w:themeFillTint="32"/>
                    <w:jc w:val="left"/>
                  </w:pPr>
                  <w:r>
                    <w:rPr>
                      <w:rFonts w:hint="eastAsia"/>
                      <w:sz w:val="24"/>
                      <w:lang w:val="en-US" w:eastAsia="zh-CN"/>
                    </w:rPr>
                    <w:t>倒轴控制</w:t>
                  </w:r>
                </w:p>
              </w:tc>
              <w:tc>
                <w:tcPr>
                  <w:tcW w:w="3265" w:type="dxa"/>
                </w:tcPr>
                <w:p>
                  <w:pPr>
                    <w:shd w:val="clear" w:color="auto" w:fill="C7DAF1" w:themeFill="text2" w:themeFillTint="32"/>
                    <w:jc w:val="left"/>
                  </w:pPr>
                  <w:r>
                    <w:rPr>
                      <w:rFonts w:hint="eastAsia"/>
                      <w:sz w:val="24"/>
                    </w:rPr>
                    <w:t>经轴的质量和张力</w:t>
                  </w:r>
                  <w:r>
                    <w:rPr>
                      <w:rFonts w:hint="eastAsia"/>
                      <w:sz w:val="24"/>
                      <w:lang w:eastAsia="zh-CN"/>
                    </w:rPr>
                    <w:t>、</w:t>
                  </w:r>
                  <w:r>
                    <w:rPr>
                      <w:rFonts w:hint="eastAsia"/>
                      <w:sz w:val="24"/>
                      <w:lang w:val="en-US" w:eastAsia="zh-CN"/>
                    </w:rPr>
                    <w:t>速度等</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eastAsia" w:eastAsia="宋体"/>
                <w:lang w:val="en-US" w:eastAsia="zh-CN"/>
              </w:rPr>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样品</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A3"/>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lang w:val="en-US" w:eastAsia="zh-CN"/>
              </w:rPr>
              <w:t xml:space="preserve">穆斯林头巾；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5~6</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19</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lang w:val="en-US" w:eastAsia="ja-JP"/>
              </w:rPr>
            </w:pPr>
            <w:r>
              <w:rPr>
                <w:rFonts w:hint="eastAsia"/>
                <w:lang w:val="en-US" w:eastAsia="zh-CN"/>
              </w:rPr>
              <w:t>1</w:t>
            </w:r>
          </w:p>
        </w:tc>
        <w:tc>
          <w:tcPr>
            <w:tcW w:w="650" w:type="dxa"/>
            <w:vAlign w:val="center"/>
          </w:tcPr>
          <w:p>
            <w:pPr>
              <w:shd w:val="clear" w:color="auto" w:fill="C7DAF1" w:themeFill="text2" w:themeFillTint="32"/>
              <w:rPr>
                <w:rFonts w:hint="default"/>
                <w:lang w:val="en-US" w:eastAsia="ja-JP"/>
              </w:rPr>
            </w:pPr>
            <w:r>
              <w:rPr>
                <w:rFonts w:hint="eastAsia"/>
                <w:lang w:val="en-US" w:eastAsia="zh-CN"/>
              </w:rPr>
              <w:t>1</w:t>
            </w:r>
          </w:p>
        </w:tc>
        <w:tc>
          <w:tcPr>
            <w:tcW w:w="650" w:type="dxa"/>
            <w:vAlign w:val="center"/>
          </w:tcPr>
          <w:p>
            <w:pPr>
              <w:shd w:val="clear" w:color="auto" w:fill="C7DAF1" w:themeFill="text2" w:themeFillTint="32"/>
              <w:rPr>
                <w:rFonts w:hint="default"/>
                <w:lang w:val="en-US" w:eastAsia="ja-JP"/>
              </w:rPr>
            </w:pPr>
            <w:r>
              <w:rPr>
                <w:rFonts w:hint="eastAsia"/>
                <w:lang w:val="en-US" w:eastAsia="zh-CN"/>
              </w:rPr>
              <w:t>1</w:t>
            </w:r>
          </w:p>
        </w:tc>
        <w:tc>
          <w:tcPr>
            <w:tcW w:w="649" w:type="dxa"/>
            <w:vAlign w:val="center"/>
          </w:tcPr>
          <w:p>
            <w:pPr>
              <w:shd w:val="clear" w:color="auto" w:fill="C7DAF1" w:themeFill="text2" w:themeFillTint="32"/>
              <w:rPr>
                <w:rFonts w:hint="default"/>
                <w:lang w:val="en-US" w:eastAsia="ja-JP"/>
              </w:rPr>
            </w:pPr>
            <w:r>
              <w:rPr>
                <w:rFonts w:hint="eastAsia"/>
                <w:lang w:val="en-US" w:eastAsia="zh-CN"/>
              </w:rPr>
              <w:t>1</w:t>
            </w:r>
          </w:p>
        </w:tc>
        <w:tc>
          <w:tcPr>
            <w:tcW w:w="650" w:type="dxa"/>
            <w:vAlign w:val="center"/>
          </w:tcPr>
          <w:p>
            <w:pPr>
              <w:shd w:val="clear" w:color="auto" w:fill="C7DAF1" w:themeFill="text2" w:themeFillTint="32"/>
              <w:rPr>
                <w:rFonts w:hint="default"/>
                <w:lang w:val="en-US" w:eastAsia="ja-JP"/>
              </w:rPr>
            </w:pPr>
            <w:r>
              <w:rPr>
                <w:rFonts w:hint="eastAsia"/>
                <w:lang w:val="en-US" w:eastAsia="zh-CN"/>
              </w:rPr>
              <w:t>1</w:t>
            </w:r>
          </w:p>
        </w:tc>
        <w:tc>
          <w:tcPr>
            <w:tcW w:w="650" w:type="dxa"/>
            <w:vAlign w:val="center"/>
          </w:tcPr>
          <w:p>
            <w:pPr>
              <w:shd w:val="clear" w:color="auto" w:fill="C7DAF1" w:themeFill="text2" w:themeFillTint="32"/>
              <w:rPr>
                <w:rFonts w:hint="default"/>
                <w:lang w:val="en-US"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w:t>
            </w:r>
            <w:r>
              <w:rPr>
                <w:rFonts w:hint="eastAsia"/>
              </w:rPr>
              <w:sym w:font="Wingdings 2" w:char="00A3"/>
            </w:r>
            <w:r>
              <w:rPr>
                <w:rFonts w:hint="eastAsia"/>
              </w:rPr>
              <w:t>消防检测</w:t>
            </w:r>
            <w:r>
              <w:rPr>
                <w:rFonts w:hint="eastAsia"/>
              </w:rPr>
              <w:sym w:font="Wingdings 2" w:char="0052"/>
            </w:r>
            <w:r>
              <w:rPr>
                <w:rFonts w:hint="eastAsia"/>
              </w:rPr>
              <w:t>生产/服务过程</w:t>
            </w:r>
            <w:r>
              <w:rPr>
                <w:rFonts w:hint="eastAsia"/>
              </w:rPr>
              <w:sym w:font="Wingdings 2" w:char="0052"/>
            </w:r>
            <w:r>
              <w:rPr>
                <w:rFonts w:hint="eastAsia"/>
              </w:rPr>
              <w:t>环保监测□产品运输□设备维修</w:t>
            </w:r>
          </w:p>
          <w:p>
            <w:pPr>
              <w:shd w:val="clear" w:color="auto" w:fill="EBF1DE" w:themeFill="accent3" w:themeFillTint="32"/>
              <w:spacing w:before="40" w:after="40"/>
            </w:pPr>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ascii="Times New Roman" w:hAnsi="Times New Roman" w:eastAsia="宋体" w:cs="Times New Roman"/>
                <w:lang w:val="en-GB"/>
              </w:rPr>
              <w:t>以产品质量为中心，以客户满意为宗旨</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规范操作，减少环境污染</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关爱生命，预防安全事故</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遵纪守法，追求不断改进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rPr>
                    <w:t>合规应对风险</w:t>
                  </w:r>
                </w:p>
              </w:tc>
              <w:tc>
                <w:tcPr>
                  <w:tcW w:w="3965" w:type="dxa"/>
                  <w:vAlign w:val="top"/>
                </w:tcPr>
                <w:p>
                  <w:pPr>
                    <w:shd w:val="clear" w:color="auto" w:fill="EBF1DE" w:themeFill="accent3" w:themeFillTint="32"/>
                  </w:pPr>
                  <w:r>
                    <w:rPr>
                      <w:rFonts w:hint="eastAsia"/>
                    </w:rPr>
                    <w:t>由</w:t>
                  </w:r>
                  <w:r>
                    <w:rPr>
                      <w:rFonts w:hint="eastAsia"/>
                      <w:lang w:val="en-US" w:eastAsia="zh-CN"/>
                    </w:rPr>
                    <w:t>综合部及时进行法规评价；</w:t>
                  </w:r>
                  <w:r>
                    <w:rPr>
                      <w:rFonts w:hint="eastAsia"/>
                    </w:rPr>
                    <w:t>配合政府部门工作，加强工作联系。</w:t>
                  </w:r>
                </w:p>
              </w:tc>
              <w:tc>
                <w:tcPr>
                  <w:tcW w:w="1717" w:type="dxa"/>
                  <w:vAlign w:val="top"/>
                </w:tcPr>
                <w:p>
                  <w:pPr>
                    <w:shd w:val="clear" w:color="auto" w:fill="EBF1DE" w:themeFill="accent3"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rPr>
                    <w:t>重要环境因素运行风险</w:t>
                  </w:r>
                </w:p>
              </w:tc>
              <w:tc>
                <w:tcPr>
                  <w:tcW w:w="3965" w:type="dxa"/>
                  <w:vAlign w:val="top"/>
                </w:tcPr>
                <w:p>
                  <w:pPr>
                    <w:shd w:val="clear" w:color="auto" w:fill="EBF1DE" w:themeFill="accent3" w:themeFillTint="32"/>
                  </w:pPr>
                  <w:r>
                    <w:rPr>
                      <w:rFonts w:hint="eastAsia"/>
                    </w:rPr>
                    <w:t>定期</w:t>
                  </w:r>
                  <w:r>
                    <w:rPr>
                      <w:rFonts w:hint="eastAsia"/>
                      <w:lang w:val="en-US" w:eastAsia="zh-CN"/>
                    </w:rPr>
                    <w:t>对</w:t>
                  </w:r>
                  <w:r>
                    <w:rPr>
                      <w:rFonts w:hint="eastAsia"/>
                    </w:rPr>
                    <w:t>组织</w:t>
                  </w:r>
                  <w:r>
                    <w:rPr>
                      <w:rFonts w:hint="eastAsia"/>
                      <w:lang w:val="en-US" w:eastAsia="zh-CN"/>
                    </w:rPr>
                    <w:t>环境因素进行监测，</w:t>
                  </w:r>
                  <w:r>
                    <w:rPr>
                      <w:rFonts w:hint="eastAsia"/>
                    </w:rPr>
                    <w:t>对消防设施、灭火器进行检查；定期组织对应急预案进行演练</w:t>
                  </w:r>
                  <w:r>
                    <w:rPr>
                      <w:rFonts w:hint="eastAsia"/>
                      <w:lang w:eastAsia="zh-CN"/>
                    </w:rPr>
                    <w:t>；与固体废弃物处置</w:t>
                  </w:r>
                  <w:r>
                    <w:rPr>
                      <w:rFonts w:hint="eastAsia"/>
                      <w:lang w:val="en-US" w:eastAsia="zh-CN"/>
                    </w:rPr>
                    <w:t>登记工作</w:t>
                  </w:r>
                  <w:r>
                    <w:rPr>
                      <w:rFonts w:hint="eastAsia"/>
                      <w:lang w:eastAsia="zh-CN"/>
                    </w:rPr>
                    <w:t>，进行合规处置，并建立回收处置记录。</w:t>
                  </w:r>
                  <w:r>
                    <w:rPr>
                      <w:rFonts w:hint="eastAsia"/>
                      <w:lang w:val="en-US" w:eastAsia="zh-CN"/>
                    </w:rPr>
                    <w:t xml:space="preserve">使用水性油墨，减少有害废气排放等； </w:t>
                  </w:r>
                </w:p>
              </w:tc>
              <w:tc>
                <w:tcPr>
                  <w:tcW w:w="1717" w:type="dxa"/>
                  <w:vAlign w:val="top"/>
                </w:tcPr>
                <w:p>
                  <w:pPr>
                    <w:shd w:val="clear" w:color="auto" w:fill="EBF1DE" w:themeFill="accent3"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废气排放□粉尘排放</w:t>
            </w:r>
            <w:r>
              <w:rPr>
                <w:rFonts w:hint="eastAsia"/>
              </w:rPr>
              <w:sym w:font="Wingdings 2" w:char="0052"/>
            </w:r>
            <w:r>
              <w:rPr>
                <w:rFonts w:hint="eastAsia"/>
              </w:rPr>
              <w:t>危废排放</w:t>
            </w:r>
            <w:r>
              <w:rPr>
                <w:rFonts w:hint="eastAsia"/>
              </w:rPr>
              <w:sym w:font="Wingdings 2" w:char="0052"/>
            </w:r>
            <w:r>
              <w:rPr>
                <w:rFonts w:hint="eastAsia"/>
              </w:rPr>
              <w:t>噪声排放</w:t>
            </w:r>
            <w:r>
              <w:rPr>
                <w:rFonts w:hint="eastAsia"/>
              </w:rPr>
              <w:sym w:font="Wingdings 2" w:char="0052"/>
            </w:r>
            <w:r>
              <w:rPr>
                <w:rFonts w:hint="eastAsia"/>
              </w:rPr>
              <w:t>危化品泄露</w:t>
            </w:r>
            <w:r>
              <w:rPr>
                <w:rFonts w:hint="eastAsia"/>
              </w:rPr>
              <w:sym w:font="Wingdings 2" w:char="00A3"/>
            </w:r>
            <w:r>
              <w:rPr>
                <w:rFonts w:hint="eastAsia"/>
              </w:rPr>
              <w:t>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rPr>
              <w:sym w:font="Wingdings 2" w:char="0052"/>
            </w:r>
            <w:r>
              <w:rPr>
                <w:rFonts w:hint="eastAsia"/>
              </w:rPr>
              <w:t>排污许可证编号：</w:t>
            </w:r>
            <w:r>
              <w:rPr>
                <w:rFonts w:hint="eastAsia"/>
                <w:lang w:val="en-US" w:eastAsia="zh-CN"/>
              </w:rPr>
              <w:t>91330503697043712Y001P,有效期2021-1-1~2025-12-31</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环境影响登记表日期：</w:t>
            </w:r>
            <w:r>
              <w:rPr>
                <w:rFonts w:hint="eastAsia"/>
                <w:lang w:val="en-US" w:eastAsia="zh-CN"/>
              </w:rPr>
              <w:t xml:space="preserve">未变化 </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污水处理□除尘设备</w:t>
            </w:r>
            <w:r>
              <w:rPr>
                <w:rFonts w:hint="eastAsia"/>
              </w:rPr>
              <w:sym w:font="Wingdings 2" w:char="0052"/>
            </w:r>
            <w:r>
              <w:rPr>
                <w:rFonts w:hint="eastAsia"/>
              </w:rPr>
              <w:t>设备降噪</w:t>
            </w:r>
            <w:r>
              <w:rPr>
                <w:rFonts w:hint="eastAsia"/>
              </w:rPr>
              <w:sym w:font="Wingdings 2" w:char="0052"/>
            </w:r>
            <w:r>
              <w:rPr>
                <w:rFonts w:hint="eastAsia"/>
              </w:rPr>
              <w:t>危废合法处置□使用节能设备</w:t>
            </w:r>
            <w:r>
              <w:rPr>
                <w:rFonts w:hint="eastAsia"/>
              </w:rPr>
              <w:sym w:font="Wingdings 2" w:char="0052"/>
            </w:r>
            <w:r>
              <w:rPr>
                <w:rFonts w:hint="eastAsia"/>
              </w:rPr>
              <w:t>危化品控制</w:t>
            </w:r>
          </w:p>
          <w:p>
            <w:pPr>
              <w:shd w:val="clear" w:color="auto" w:fill="EBF1DE" w:themeFill="accent3" w:themeFillTint="32"/>
              <w:rPr>
                <w:highlight w:val="cyan"/>
              </w:rPr>
            </w:pP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pPr>
                  <w:r>
                    <w:rPr>
                      <w:rFonts w:hint="eastAsia" w:ascii="宋体" w:hAnsi="宋体" w:cs="宋体"/>
                      <w:sz w:val="18"/>
                      <w:szCs w:val="18"/>
                    </w:rPr>
                    <w:t>各类废弃物按规定处置率100%</w:t>
                  </w:r>
                </w:p>
              </w:tc>
              <w:tc>
                <w:tcPr>
                  <w:tcW w:w="3136" w:type="dxa"/>
                  <w:shd w:val="clear" w:color="auto" w:fill="auto"/>
                  <w:vAlign w:val="center"/>
                </w:tcPr>
                <w:p>
                  <w:pPr>
                    <w:shd w:val="clear" w:color="auto" w:fill="EBF1DE" w:themeFill="accent3" w:themeFillTint="32"/>
                    <w:rPr>
                      <w:rFonts w:hint="eastAsia" w:eastAsia="宋体"/>
                      <w:lang w:val="en-GB" w:eastAsia="zh-CN"/>
                    </w:rPr>
                  </w:pPr>
                  <w:r>
                    <w:rPr>
                      <w:rFonts w:hint="eastAsia" w:ascii="宋体" w:hAnsi="宋体" w:cs="宋体"/>
                      <w:sz w:val="18"/>
                      <w:szCs w:val="18"/>
                    </w:rPr>
                    <w:t>对员工进行程序和作业标准培训教育</w:t>
                  </w:r>
                  <w:r>
                    <w:rPr>
                      <w:rFonts w:hint="eastAsia" w:ascii="宋体" w:hAnsi="宋体" w:cs="宋体"/>
                      <w:sz w:val="18"/>
                      <w:szCs w:val="18"/>
                      <w:lang w:eastAsia="zh-CN"/>
                    </w:rPr>
                    <w:t>；</w:t>
                  </w:r>
                  <w:r>
                    <w:rPr>
                      <w:rFonts w:hint="eastAsia" w:ascii="宋体" w:hAnsi="宋体" w:cs="宋体"/>
                      <w:sz w:val="18"/>
                      <w:szCs w:val="18"/>
                    </w:rPr>
                    <w:t>各类废弃物按垃圾分类处置</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噪声达标评放</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设备设施维护保养；实施监测</w:t>
                  </w: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废气达标排放</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实施监测</w:t>
                  </w:r>
                </w:p>
              </w:tc>
              <w:tc>
                <w:tcPr>
                  <w:tcW w:w="1350" w:type="dxa"/>
                  <w:shd w:val="clear" w:color="auto" w:fill="auto"/>
                  <w:vAlign w:val="center"/>
                </w:tcPr>
                <w:p>
                  <w:pPr>
                    <w:shd w:val="clear" w:color="auto" w:fill="EBF1DE" w:themeFill="accent3" w:themeFillTint="32"/>
                    <w:rPr>
                      <w:rFonts w:ascii="宋体" w:hAnsi="宋体"/>
                    </w:rPr>
                  </w:pPr>
                  <w:r>
                    <w:rPr>
                      <w:rFonts w:hint="eastAsia" w:ascii="宋体" w:hAnsi="宋体"/>
                      <w:lang w:val="en-US" w:eastAsia="zh-CN"/>
                    </w:rPr>
                    <w:t>生产部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生产废水达标排放</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建设污水处理池处理排放，在线监测实施监测</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lang w:val="en-US" w:eastAsia="zh-CN"/>
              </w:rPr>
              <w:t xml:space="preserve">印染生产线、坏布纺织机、缝纫机、绣花机等； </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lang w:val="en-US" w:eastAsia="zh-CN"/>
              </w:rPr>
              <w:t xml:space="preserve">污水处理池、危险废物仓库； </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sym w:font="Wingdings 2" w:char="00A3"/>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sym w:font="Wingdings 2" w:char="0052"/>
            </w:r>
            <w:r>
              <w:rPr>
                <w:rFonts w:hint="eastAsia"/>
              </w:rPr>
              <w:t>危化品库</w:t>
            </w:r>
          </w:p>
          <w:p>
            <w:pPr>
              <w:shd w:val="clear" w:color="auto" w:fill="EBF1DE" w:themeFill="accent3" w:themeFillTint="32"/>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w:t>
            </w:r>
            <w:r>
              <w:rPr>
                <w:rFonts w:hint="eastAsia"/>
              </w:rPr>
              <w:sym w:font="Wingdings 2" w:char="0052"/>
            </w:r>
            <w:r>
              <w:rPr>
                <w:rFonts w:hint="eastAsia"/>
              </w:rPr>
              <w:t>法律法规获取有遗漏，缺少：</w:t>
            </w:r>
            <w:r>
              <w:rPr>
                <w:rFonts w:hint="eastAsia"/>
                <w:lang w:val="en-US" w:eastAsia="zh-CN"/>
              </w:rPr>
              <w:t>《排污许可条例》、《建设项目环境保护分类管理名录》（2021年版）、《特种设备事故报告和调查处理规定》、《易制爆化学品目录》等；</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default" w:eastAsia="宋体"/>
                <w:lang w:val="en-US" w:eastAsia="zh-CN"/>
              </w:rPr>
            </w:pPr>
            <w:r>
              <w:rPr>
                <w:rFonts w:hint="eastAsia"/>
              </w:rPr>
              <w:t>审核期间内，设计和开发新产品/项目名称：</w:t>
            </w:r>
            <w:r>
              <w:rPr>
                <w:rFonts w:hint="eastAsia"/>
                <w:u w:val="single"/>
                <w:lang w:val="en-US" w:eastAsia="zh-CN"/>
              </w:rPr>
              <w:t>穆斯林头巾</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sym w:font="Wingdings 2" w:char="0052"/>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w:t>
                  </w:r>
                  <w:r>
                    <w:rPr>
                      <w:rFonts w:hint="eastAsia"/>
                      <w:lang w:val="en-US" w:eastAsia="zh-CN"/>
                    </w:rPr>
                    <w:t>/</w:t>
                  </w: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水电蒸汽使用按月统计</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 xml:space="preserve">良好；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排入污水处理池，达标排放，在线监测</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 xml:space="preserve">无组织排放，监测； </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 xml:space="preserve">设备维护保养，监测； </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 xml:space="preserve">建有危险化学品为及危险废物库； 进出登记； 有资质单位处置； </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 xml:space="preserve">日常检查 </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eastAsia="宋体"/>
                <w:lang w:val="en-US" w:eastAsia="zh-CN"/>
              </w:rPr>
            </w:pPr>
            <w:r>
              <w:rPr>
                <w:rFonts w:hint="eastAsia"/>
              </w:rPr>
              <w:t>特种设备检测报告，如：</w:t>
            </w:r>
            <w:r>
              <w:rPr>
                <w:rFonts w:hint="eastAsia"/>
                <w:u w:val="single"/>
                <w:lang w:val="en-US" w:eastAsia="zh-CN"/>
              </w:rPr>
              <w:t>叉车、压力表、安全阀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52"/>
            </w:r>
            <w:r>
              <w:rPr>
                <w:rFonts w:hint="eastAsia"/>
              </w:rPr>
              <w:t>重要原材料</w:t>
            </w:r>
            <w:r>
              <w:rPr>
                <w:rFonts w:hint="eastAsia" w:ascii="Wingdings" w:hAnsi="Wingdings"/>
                <w:lang w:eastAsia="zh-CN"/>
              </w:rPr>
              <w:sym w:font="Wingdings 2" w:char="0052"/>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sym w:font="Wingdings 2" w:char="0052"/>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sym w:font="Wingdings 2" w:char="0052"/>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10</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r>
              <w:rPr>
                <w:rFonts w:hint="eastAsia"/>
                <w:lang w:val="en-US" w:eastAsia="zh-CN"/>
              </w:rPr>
              <w:t>2021</w:t>
            </w:r>
            <w:r>
              <w:rPr>
                <w:rFonts w:hint="eastAsia"/>
              </w:rPr>
              <w:t>年</w:t>
            </w:r>
            <w:r>
              <w:rPr>
                <w:rFonts w:hint="eastAsia"/>
                <w:lang w:val="en-US" w:eastAsia="zh-CN"/>
              </w:rPr>
              <w:t>2</w:t>
            </w:r>
            <w:r>
              <w:rPr>
                <w:rFonts w:hint="eastAsia"/>
              </w:rPr>
              <w:t>月</w:t>
            </w:r>
            <w:r>
              <w:rPr>
                <w:rFonts w:hint="eastAsia"/>
                <w:lang w:val="en-US" w:eastAsia="zh-CN"/>
              </w:rPr>
              <w:t>9</w:t>
            </w:r>
            <w:r>
              <w:rPr>
                <w:rFonts w:hint="eastAsia"/>
              </w:rPr>
              <w:t>日</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2</w:t>
            </w:r>
            <w:r>
              <w:rPr>
                <w:rFonts w:hint="eastAsia"/>
              </w:rPr>
              <w:t>月</w:t>
            </w:r>
            <w:r>
              <w:rPr>
                <w:rFonts w:hint="eastAsia"/>
                <w:lang w:val="en-US" w:eastAsia="zh-CN"/>
              </w:rPr>
              <w:t>9</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2022H0569</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5~6</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19</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w:t>
            </w:r>
            <w:r>
              <w:rPr>
                <w:rFonts w:hint="eastAsia"/>
              </w:rPr>
              <w:sym w:font="Wingdings 2" w:char="0052"/>
            </w:r>
            <w:r>
              <w:rPr>
                <w:rFonts w:hint="eastAsia"/>
              </w:rPr>
              <w:t>消防检测</w:t>
            </w:r>
            <w:r>
              <w:rPr>
                <w:rFonts w:hint="eastAsia"/>
              </w:rPr>
              <w:sym w:font="Wingdings 2" w:char="0052"/>
            </w:r>
            <w:r>
              <w:rPr>
                <w:rFonts w:hint="eastAsia"/>
              </w:rPr>
              <w:t>生产/服务过程</w:t>
            </w:r>
            <w:r>
              <w:rPr>
                <w:rFonts w:hint="eastAsia"/>
              </w:rPr>
              <w:sym w:font="Wingdings 2" w:char="0052"/>
            </w:r>
            <w:r>
              <w:rPr>
                <w:rFonts w:hint="eastAsia"/>
              </w:rPr>
              <w:t>安全监测□产品运输□设备维修</w:t>
            </w:r>
          </w:p>
          <w:p>
            <w:pPr>
              <w:spacing w:before="40" w:after="40"/>
            </w:pPr>
            <w:r>
              <w:rPr>
                <w:rFonts w:hint="eastAsia"/>
              </w:rPr>
              <w:sym w:font="Wingdings 2" w:char="0052"/>
            </w: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r>
              <w:rPr>
                <w:rFonts w:hint="eastAsia" w:ascii="Times New Roman" w:hAnsi="Times New Roman" w:eastAsia="宋体" w:cs="Times New Roman"/>
                <w:lang w:val="en-GB"/>
              </w:rPr>
              <w:t>以产品质量为中心，以客户满意为宗旨</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规范操作，减少环境污染</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关爱生命，预防安全事故</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遵纪守法，追求不断改进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吕小华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r>
                    <w:rPr>
                      <w:rFonts w:hint="eastAsia"/>
                    </w:rPr>
                    <w:t>主要的风险或机遇描述</w:t>
                  </w:r>
                </w:p>
              </w:tc>
              <w:tc>
                <w:tcPr>
                  <w:tcW w:w="3965" w:type="dxa"/>
                  <w:vAlign w:val="top"/>
                </w:tcPr>
                <w:p>
                  <w:r>
                    <w:rPr>
                      <w:rFonts w:hint="eastAsia"/>
                    </w:rPr>
                    <w:t>应对措施</w:t>
                  </w:r>
                </w:p>
              </w:tc>
              <w:tc>
                <w:tcPr>
                  <w:tcW w:w="1717" w:type="dxa"/>
                  <w:vAlign w:val="top"/>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pPr>
                  <w:r>
                    <w:rPr>
                      <w:rFonts w:hint="eastAsia"/>
                    </w:rPr>
                    <w:t>合规义务风险</w:t>
                  </w:r>
                </w:p>
              </w:tc>
              <w:tc>
                <w:tcPr>
                  <w:tcW w:w="3965" w:type="dxa"/>
                  <w:vAlign w:val="center"/>
                </w:tcPr>
                <w:p>
                  <w:pPr>
                    <w:jc w:val="both"/>
                  </w:pPr>
                  <w:r>
                    <w:rPr>
                      <w:rFonts w:hint="eastAsia"/>
                    </w:rPr>
                    <w:t>建立对相关法律法规的更新信息的渠道</w:t>
                  </w:r>
                  <w:r>
                    <w:rPr>
                      <w:rFonts w:hint="eastAsia"/>
                      <w:lang w:eastAsia="zh-CN"/>
                    </w:rPr>
                    <w:t>，定期对法规实施合规性评价</w:t>
                  </w:r>
                </w:p>
              </w:tc>
              <w:tc>
                <w:tcPr>
                  <w:tcW w:w="1717" w:type="dxa"/>
                  <w:vAlign w:val="center"/>
                </w:tcPr>
                <w:p>
                  <w:pPr>
                    <w:jc w:val="both"/>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pPr>
                  <w:r>
                    <w:rPr>
                      <w:rFonts w:hint="eastAsia"/>
                    </w:rPr>
                    <w:t>特种设备</w:t>
                  </w:r>
                  <w:r>
                    <w:rPr>
                      <w:rFonts w:hint="eastAsia"/>
                      <w:lang w:val="en-US" w:eastAsia="zh-CN"/>
                    </w:rPr>
                    <w:t>等机械</w:t>
                  </w:r>
                  <w:r>
                    <w:rPr>
                      <w:rFonts w:hint="eastAsia"/>
                    </w:rPr>
                    <w:t>安全风险</w:t>
                  </w:r>
                </w:p>
              </w:tc>
              <w:tc>
                <w:tcPr>
                  <w:tcW w:w="3965" w:type="dxa"/>
                  <w:vAlign w:val="center"/>
                </w:tcPr>
                <w:p>
                  <w:pPr>
                    <w:jc w:val="both"/>
                  </w:pPr>
                  <w:r>
                    <w:rPr>
                      <w:rFonts w:hint="eastAsia"/>
                    </w:rPr>
                    <w:t>制定检定计划，按时进行特种设备检定</w:t>
                  </w:r>
                </w:p>
              </w:tc>
              <w:tc>
                <w:tcPr>
                  <w:tcW w:w="1717" w:type="dxa"/>
                  <w:vAlign w:val="center"/>
                </w:tcPr>
                <w:p>
                  <w:pPr>
                    <w:jc w:val="both"/>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pPr>
                  <w:r>
                    <w:rPr>
                      <w:rFonts w:hint="eastAsia"/>
                      <w:lang w:val="en-US" w:eastAsia="zh-CN"/>
                    </w:rPr>
                    <w:t>化学品泄露</w:t>
                  </w:r>
                  <w:r>
                    <w:rPr>
                      <w:rFonts w:hint="eastAsia"/>
                    </w:rPr>
                    <w:t>中毒</w:t>
                  </w:r>
                </w:p>
              </w:tc>
              <w:tc>
                <w:tcPr>
                  <w:tcW w:w="3965" w:type="dxa"/>
                  <w:vAlign w:val="center"/>
                </w:tcPr>
                <w:p>
                  <w:pPr>
                    <w:jc w:val="both"/>
                  </w:pPr>
                  <w:r>
                    <w:rPr>
                      <w:rFonts w:hint="eastAsia"/>
                    </w:rPr>
                    <w:t>制定化学品管理制度，建立化学品台账，进行化学品相关知识培训</w:t>
                  </w:r>
                </w:p>
              </w:tc>
              <w:tc>
                <w:tcPr>
                  <w:tcW w:w="1717" w:type="dxa"/>
                  <w:vAlign w:val="center"/>
                </w:tcPr>
                <w:p>
                  <w:pPr>
                    <w:jc w:val="both"/>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pPr>
                  <w:r>
                    <w:rPr>
                      <w:rFonts w:hint="eastAsia"/>
                    </w:rPr>
                    <w:t>疫情风险</w:t>
                  </w:r>
                </w:p>
              </w:tc>
              <w:tc>
                <w:tcPr>
                  <w:tcW w:w="3965" w:type="dxa"/>
                  <w:vAlign w:val="center"/>
                </w:tcPr>
                <w:p>
                  <w:pPr>
                    <w:jc w:val="both"/>
                  </w:pPr>
                  <w:r>
                    <w:rPr>
                      <w:rFonts w:hint="eastAsia"/>
                    </w:rPr>
                    <w:t>制定传染病防控预案，加强传染病知识培训，提高防护意识</w:t>
                  </w:r>
                </w:p>
              </w:tc>
              <w:tc>
                <w:tcPr>
                  <w:tcW w:w="1717" w:type="dxa"/>
                  <w:vAlign w:val="center"/>
                </w:tcPr>
                <w:p>
                  <w:pPr>
                    <w:jc w:val="both"/>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eastAsia" w:ascii="Times New Roman" w:hAnsi="Times New Roman" w:eastAsia="宋体" w:cs="Times New Roman"/>
                      <w:kern w:val="2"/>
                      <w:sz w:val="21"/>
                      <w:szCs w:val="24"/>
                      <w:lang w:val="en-US" w:eastAsia="zh-CN" w:bidi="ar-SA"/>
                    </w:rPr>
                  </w:pPr>
                  <w:r>
                    <w:rPr>
                      <w:rFonts w:hint="eastAsia"/>
                      <w:lang w:val="en-US" w:eastAsia="zh-CN"/>
                    </w:rPr>
                    <w:t>废气危害</w:t>
                  </w:r>
                </w:p>
              </w:tc>
              <w:tc>
                <w:tcPr>
                  <w:tcW w:w="3965" w:type="dxa"/>
                  <w:vAlign w:val="center"/>
                </w:tcPr>
                <w:p>
                  <w:pPr>
                    <w:jc w:val="both"/>
                    <w:rPr>
                      <w:rFonts w:hint="eastAsia" w:ascii="Times New Roman" w:hAnsi="Times New Roman" w:eastAsia="宋体" w:cs="Times New Roman"/>
                      <w:kern w:val="2"/>
                      <w:sz w:val="21"/>
                      <w:szCs w:val="24"/>
                      <w:lang w:val="en-US" w:eastAsia="zh-CN" w:bidi="ar-SA"/>
                    </w:rPr>
                  </w:pPr>
                  <w:r>
                    <w:rPr>
                      <w:rFonts w:hint="eastAsia"/>
                      <w:lang w:val="en-US" w:eastAsia="zh-CN"/>
                    </w:rPr>
                    <w:t>监测</w:t>
                  </w:r>
                  <w:r>
                    <w:rPr>
                      <w:rFonts w:hint="eastAsia" w:eastAsia="宋体"/>
                      <w:lang w:val="en-US" w:eastAsia="zh-CN"/>
                    </w:rPr>
                    <w:t>。</w:t>
                  </w:r>
                </w:p>
              </w:tc>
              <w:tc>
                <w:tcPr>
                  <w:tcW w:w="1717" w:type="dxa"/>
                  <w:vAlign w:val="center"/>
                </w:tcPr>
                <w:p>
                  <w:pPr>
                    <w:jc w:val="both"/>
                    <w:rPr>
                      <w:rFonts w:hint="eastAsia"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eastAsia" w:ascii="Times New Roman" w:hAnsi="Times New Roman" w:eastAsia="宋体" w:cs="Times New Roman"/>
                      <w:kern w:val="2"/>
                      <w:sz w:val="21"/>
                      <w:szCs w:val="24"/>
                      <w:lang w:val="en-US" w:eastAsia="zh-CN" w:bidi="ar-SA"/>
                    </w:rPr>
                  </w:pPr>
                  <w:r>
                    <w:rPr>
                      <w:rFonts w:hint="eastAsia"/>
                      <w:lang w:val="en-US" w:eastAsia="zh-CN"/>
                    </w:rPr>
                    <w:t>噪声危害</w:t>
                  </w:r>
                </w:p>
              </w:tc>
              <w:tc>
                <w:tcPr>
                  <w:tcW w:w="3965" w:type="dxa"/>
                  <w:vAlign w:val="center"/>
                </w:tcPr>
                <w:p>
                  <w:pPr>
                    <w:jc w:val="both"/>
                    <w:rPr>
                      <w:rFonts w:hint="eastAsia" w:ascii="Times New Roman" w:hAnsi="Times New Roman" w:eastAsia="宋体" w:cs="Times New Roman"/>
                      <w:kern w:val="2"/>
                      <w:sz w:val="21"/>
                      <w:szCs w:val="24"/>
                      <w:lang w:val="en-US" w:eastAsia="zh-CN" w:bidi="ar-SA"/>
                    </w:rPr>
                  </w:pPr>
                  <w:r>
                    <w:rPr>
                      <w:rFonts w:hint="eastAsia"/>
                      <w:lang w:val="en-US" w:eastAsia="zh-CN"/>
                    </w:rPr>
                    <w:t>告知信息</w:t>
                  </w:r>
                </w:p>
              </w:tc>
              <w:tc>
                <w:tcPr>
                  <w:tcW w:w="1717" w:type="dxa"/>
                  <w:vAlign w:val="center"/>
                </w:tcPr>
                <w:p>
                  <w:pPr>
                    <w:jc w:val="both"/>
                    <w:rPr>
                      <w:rFonts w:hint="eastAsia" w:ascii="Times New Roman" w:hAnsi="Times New Roman" w:eastAsia="宋体" w:cs="Times New Roman"/>
                      <w:kern w:val="2"/>
                      <w:sz w:val="21"/>
                      <w:szCs w:val="24"/>
                      <w:lang w:val="en-US" w:eastAsia="zh-CN" w:bidi="ar-SA"/>
                    </w:rPr>
                  </w:pPr>
                  <w:r>
                    <w:rPr>
                      <w:rFonts w:hint="eastAsia"/>
                      <w:lang w:val="en-US" w:eastAsia="zh-CN"/>
                    </w:rPr>
                    <w:t>基本有效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w:t>
            </w:r>
            <w:r>
              <w:rPr>
                <w:rFonts w:hint="eastAsia"/>
              </w:rPr>
              <w:sym w:font="Wingdings 2" w:char="0052"/>
            </w:r>
            <w:r>
              <w:rPr>
                <w:rFonts w:hint="eastAsia"/>
              </w:rPr>
              <w:t>化学伤害</w:t>
            </w:r>
            <w:r>
              <w:rPr>
                <w:rFonts w:hint="eastAsia"/>
              </w:rPr>
              <w:sym w:font="Wingdings 2" w:char="0052"/>
            </w:r>
            <w:r>
              <w:rPr>
                <w:rFonts w:hint="eastAsia"/>
              </w:rPr>
              <w:t>噪声□粉尘</w:t>
            </w:r>
            <w:r>
              <w:rPr>
                <w:rFonts w:hint="eastAsia"/>
              </w:rPr>
              <w:sym w:font="Wingdings 2" w:char="0052"/>
            </w:r>
            <w:r>
              <w:rPr>
                <w:rFonts w:hint="eastAsia"/>
              </w:rPr>
              <w:t>危险作业</w:t>
            </w:r>
            <w:r>
              <w:rPr>
                <w:rFonts w:hint="eastAsia"/>
              </w:rPr>
              <w:sym w:font="Wingdings 2" w:char="0052"/>
            </w:r>
            <w:r>
              <w:rPr>
                <w:rFonts w:hint="eastAsia"/>
              </w:rPr>
              <w:t>高低温</w:t>
            </w:r>
            <w:r>
              <w:rPr>
                <w:rFonts w:hint="eastAsia"/>
              </w:rPr>
              <w:sym w:font="Wingdings 2" w:char="0052"/>
            </w:r>
            <w:r>
              <w:rPr>
                <w:rFonts w:hint="eastAsia"/>
              </w:rPr>
              <w:t>危化品泄露</w:t>
            </w:r>
            <w:r>
              <w:rPr>
                <w:rFonts w:hint="eastAsia"/>
              </w:rPr>
              <w:sym w:font="Wingdings 2" w:char="0052"/>
            </w:r>
            <w:r>
              <w:rPr>
                <w:rFonts w:hint="eastAsia"/>
              </w:rPr>
              <w:t>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rPr>
              <w:sym w:font="Wingdings 2" w:char="0052"/>
            </w:r>
            <w:r>
              <w:rPr>
                <w:rFonts w:hint="eastAsia"/>
              </w:rPr>
              <w:t>职业病体检报告书日期：</w:t>
            </w:r>
            <w:r>
              <w:rPr>
                <w:rFonts w:hint="eastAsia"/>
                <w:lang w:val="en-US" w:eastAsia="zh-CN"/>
              </w:rPr>
              <w:t>2022-2-20</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安全装置□除尘设备□漏电保护□穿戴劳保用品□作业票管理</w:t>
            </w:r>
            <w:r>
              <w:rPr>
                <w:rFonts w:hint="eastAsia"/>
              </w:rPr>
              <w:sym w:font="Wingdings 2" w:char="0052"/>
            </w:r>
            <w:r>
              <w:rPr>
                <w:rFonts w:hint="eastAsia"/>
              </w:rPr>
              <w:t>挂牌上锁管理</w:t>
            </w:r>
          </w:p>
          <w:p>
            <w:pPr>
              <w:rPr>
                <w:highlight w:val="cyan"/>
              </w:rPr>
            </w:pPr>
            <w:r>
              <w:rPr>
                <w:rFonts w:hint="eastAsia"/>
              </w:rPr>
              <w:sym w:font="Wingdings 2" w:char="0052"/>
            </w:r>
            <w:r>
              <w:rPr>
                <w:rFonts w:hint="eastAsia"/>
              </w:rPr>
              <w:t>危化品控制</w:t>
            </w: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r>
                    <w:rPr>
                      <w:rFonts w:hint="eastAsia" w:ascii="宋体" w:hAnsi="宋体" w:cs="宋体"/>
                      <w:sz w:val="18"/>
                    </w:rPr>
                    <w:t>杜绝死亡事故</w:t>
                  </w:r>
                </w:p>
              </w:tc>
              <w:tc>
                <w:tcPr>
                  <w:tcW w:w="3136" w:type="dxa"/>
                  <w:shd w:val="clear" w:color="auto" w:fill="auto"/>
                  <w:vAlign w:val="center"/>
                </w:tcPr>
                <w:p>
                  <w:pPr>
                    <w:rPr>
                      <w:lang w:val="en-GB"/>
                    </w:rPr>
                  </w:pPr>
                  <w:r>
                    <w:rPr>
                      <w:rFonts w:hint="eastAsia" w:ascii="宋体" w:hAnsi="宋体" w:cs="宋体"/>
                      <w:sz w:val="18"/>
                    </w:rPr>
                    <w:t>建立消防责任制和管理制度</w:t>
                  </w:r>
                  <w:r>
                    <w:rPr>
                      <w:rFonts w:hint="eastAsia" w:ascii="宋体" w:hAnsi="宋体" w:cs="宋体"/>
                      <w:sz w:val="18"/>
                      <w:lang w:eastAsia="zh-CN"/>
                    </w:rPr>
                    <w:t>；</w:t>
                  </w:r>
                  <w:r>
                    <w:rPr>
                      <w:rFonts w:hint="eastAsia" w:ascii="宋体" w:hAnsi="宋体" w:cs="宋体"/>
                      <w:sz w:val="18"/>
                    </w:rPr>
                    <w:t>加强对员工进行培训教育，培训</w:t>
                  </w:r>
                </w:p>
              </w:tc>
              <w:tc>
                <w:tcPr>
                  <w:tcW w:w="1350" w:type="dxa"/>
                  <w:shd w:val="clear" w:color="auto" w:fill="auto"/>
                  <w:vAlign w:val="center"/>
                </w:tcPr>
                <w:p>
                  <w:pPr>
                    <w:rPr>
                      <w:lang w:val="en-GB"/>
                    </w:rPr>
                  </w:pPr>
                  <w:r>
                    <w:rPr>
                      <w:rFonts w:hint="eastAsia"/>
                      <w:lang w:val="en-US" w:eastAsia="zh-CN"/>
                    </w:rPr>
                    <w:t>综合部/生产部</w:t>
                  </w:r>
                </w:p>
              </w:tc>
              <w:tc>
                <w:tcPr>
                  <w:tcW w:w="1774" w:type="dxa"/>
                  <w:shd w:val="clear" w:color="auto" w:fill="auto"/>
                  <w:vAlign w:val="center"/>
                </w:tcPr>
                <w:p>
                  <w:pPr>
                    <w:jc w:val="center"/>
                    <w:rPr>
                      <w:rFonts w:ascii="宋体" w:hAnsi="宋体"/>
                      <w:lang w:val="en-GB"/>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pPr>
                  <w:r>
                    <w:rPr>
                      <w:rFonts w:hint="eastAsia" w:ascii="宋体" w:hAnsi="宋体" w:cs="宋体"/>
                      <w:sz w:val="18"/>
                    </w:rPr>
                    <w:t>减少轻伤事故</w:t>
                  </w:r>
                </w:p>
              </w:tc>
              <w:tc>
                <w:tcPr>
                  <w:tcW w:w="3136" w:type="dxa"/>
                  <w:shd w:val="clear" w:color="auto" w:fill="auto"/>
                  <w:vAlign w:val="center"/>
                </w:tcPr>
                <w:p>
                  <w:pPr>
                    <w:rPr>
                      <w:rFonts w:ascii="宋体" w:hAnsi="宋体"/>
                    </w:rPr>
                  </w:pPr>
                  <w:r>
                    <w:rPr>
                      <w:rFonts w:hint="eastAsia" w:ascii="宋体" w:hAnsi="宋体" w:cs="宋体"/>
                      <w:sz w:val="18"/>
                    </w:rPr>
                    <w:t>合理安排劳动时间,不让员工疲劳上班</w:t>
                  </w:r>
                  <w:r>
                    <w:rPr>
                      <w:rFonts w:hint="eastAsia" w:ascii="宋体" w:hAnsi="宋体" w:cs="宋体"/>
                      <w:sz w:val="18"/>
                      <w:lang w:eastAsia="zh-CN"/>
                    </w:rPr>
                    <w:t>；</w:t>
                  </w:r>
                  <w:r>
                    <w:rPr>
                      <w:rFonts w:hint="eastAsia" w:ascii="宋体" w:hAnsi="宋体" w:cs="宋体"/>
                      <w:sz w:val="18"/>
                    </w:rPr>
                    <w:t>建立程序和作业标准，对员工进行培训教育</w:t>
                  </w:r>
                </w:p>
              </w:tc>
              <w:tc>
                <w:tcPr>
                  <w:tcW w:w="1350" w:type="dxa"/>
                  <w:shd w:val="clear" w:color="auto" w:fill="auto"/>
                  <w:vAlign w:val="center"/>
                </w:tcPr>
                <w:p>
                  <w:pPr>
                    <w:rPr>
                      <w:rFonts w:ascii="宋体" w:hAnsi="宋体"/>
                    </w:rPr>
                  </w:pPr>
                  <w:r>
                    <w:rPr>
                      <w:rFonts w:hint="eastAsia"/>
                      <w:lang w:val="en-US" w:eastAsia="zh-CN"/>
                    </w:rPr>
                    <w:t>综合部/生产部</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r>
                    <w:rPr>
                      <w:rFonts w:hint="eastAsia" w:ascii="宋体" w:hAnsi="宋体" w:eastAsia="宋体" w:cs="宋体"/>
                      <w:sz w:val="18"/>
                    </w:rPr>
                    <w:t>职业健康安全</w:t>
                  </w:r>
                </w:p>
              </w:tc>
              <w:tc>
                <w:tcPr>
                  <w:tcW w:w="3136" w:type="dxa"/>
                  <w:shd w:val="clear" w:color="auto" w:fill="auto"/>
                  <w:vAlign w:val="center"/>
                </w:tcPr>
                <w:p>
                  <w:pPr>
                    <w:numPr>
                      <w:ilvl w:val="0"/>
                      <w:numId w:val="0"/>
                    </w:numPr>
                    <w:rPr>
                      <w:rFonts w:hint="default" w:ascii="宋体" w:hAnsi="宋体" w:eastAsia="宋体" w:cs="宋体"/>
                      <w:sz w:val="18"/>
                      <w:lang w:val="en-US" w:eastAsia="zh-CN"/>
                    </w:rPr>
                  </w:pPr>
                  <w:r>
                    <w:rPr>
                      <w:rFonts w:hint="eastAsia" w:ascii="宋体" w:hAnsi="宋体" w:eastAsia="宋体" w:cs="宋体"/>
                      <w:sz w:val="18"/>
                    </w:rPr>
                    <w:t>有职业病岗位人员进行职业病体检</w:t>
                  </w:r>
                  <w:r>
                    <w:rPr>
                      <w:rFonts w:hint="eastAsia" w:ascii="宋体" w:hAnsi="宋体" w:eastAsia="宋体" w:cs="宋体"/>
                      <w:sz w:val="18"/>
                      <w:lang w:eastAsia="zh-CN"/>
                    </w:rPr>
                    <w:t>；</w:t>
                  </w:r>
                  <w:r>
                    <w:rPr>
                      <w:rFonts w:hint="eastAsia" w:ascii="宋体" w:hAnsi="宋体" w:eastAsia="宋体" w:cs="宋体"/>
                      <w:sz w:val="18"/>
                      <w:lang w:val="en-US" w:eastAsia="zh-CN"/>
                    </w:rPr>
                    <w:t>员工佩戴防护设施及安全教育</w:t>
                  </w:r>
                </w:p>
                <w:p>
                  <w:pPr>
                    <w:rPr>
                      <w:rFonts w:ascii="宋体" w:hAnsi="宋体"/>
                    </w:rPr>
                  </w:pPr>
                </w:p>
              </w:tc>
              <w:tc>
                <w:tcPr>
                  <w:tcW w:w="1350" w:type="dxa"/>
                  <w:shd w:val="clear" w:color="auto" w:fill="auto"/>
                  <w:vAlign w:val="center"/>
                </w:tcPr>
                <w:p>
                  <w:pPr>
                    <w:rPr>
                      <w:rFonts w:ascii="宋体" w:hAnsi="宋体"/>
                    </w:rPr>
                  </w:pPr>
                  <w:r>
                    <w:rPr>
                      <w:rFonts w:hint="eastAsia"/>
                      <w:lang w:val="en-US" w:eastAsia="zh-CN"/>
                    </w:rPr>
                    <w:t>综合部/生产部</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lang w:val="en-US" w:eastAsia="zh-CN"/>
              </w:rPr>
              <w:t xml:space="preserve">印染生产线、坏布纺织机、缝纫机、绣花机等； </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sym w:font="Wingdings 2" w:char="0052"/>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sym w:font="Wingdings 2" w:char="0052"/>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sym w:font="Wingdings 2" w:char="00A3"/>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sym w:font="Wingdings 2" w:char="0052"/>
            </w:r>
            <w:r>
              <w:rPr>
                <w:rFonts w:hint="eastAsia"/>
              </w:rPr>
              <w:t>危化品库</w:t>
            </w:r>
          </w:p>
          <w:p>
            <w:pPr>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rPr>
              <w:t>□法律法规获取充分，</w:t>
            </w:r>
            <w:r>
              <w:rPr>
                <w:rFonts w:hint="eastAsia"/>
              </w:rPr>
              <w:sym w:font="Wingdings 2" w:char="0052"/>
            </w:r>
            <w:r>
              <w:rPr>
                <w:rFonts w:hint="eastAsia"/>
              </w:rPr>
              <w:t>法律法规获取有遗漏，缺少：</w:t>
            </w:r>
            <w:r>
              <w:rPr>
                <w:rFonts w:hint="eastAsia"/>
                <w:lang w:val="en-US" w:eastAsia="zh-CN"/>
              </w:rPr>
              <w:t xml:space="preserve">同上；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default" w:eastAsia="宋体"/>
                <w:lang w:val="en-US" w:eastAsia="zh-CN"/>
              </w:rPr>
            </w:pPr>
            <w:r>
              <w:rPr>
                <w:rFonts w:hint="eastAsia"/>
              </w:rPr>
              <w:t>审核期间内，设计和开发新产品/项目名称：</w:t>
            </w:r>
            <w:r>
              <w:rPr>
                <w:rFonts w:hint="eastAsia"/>
                <w:u w:val="single"/>
                <w:lang w:val="en-US" w:eastAsia="zh-CN"/>
              </w:rPr>
              <w:t>穆斯林头巾</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sym w:font="Wingdings 2" w:char="0052"/>
                  </w:r>
                  <w:r>
                    <w:rPr>
                      <w:rFonts w:hint="eastAsia"/>
                    </w:rPr>
                    <w:t>设置围堰□排风系统□穿戴劳保用品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定期检测□压力巡视</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 xml:space="preserve">日常检查 </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rPr>
                <w:rFonts w:hint="default" w:eastAsia="宋体"/>
                <w:lang w:val="en-US" w:eastAsia="zh-CN"/>
              </w:rPr>
            </w:pPr>
            <w:r>
              <w:rPr>
                <w:rFonts w:hint="eastAsia"/>
              </w:rPr>
              <w:t>特种设备检测报告，如：</w:t>
            </w:r>
            <w:r>
              <w:rPr>
                <w:rFonts w:hint="eastAsia"/>
                <w:u w:val="single"/>
                <w:lang w:val="en-US" w:eastAsia="zh-CN"/>
              </w:rPr>
              <w:t>叉车、压力表、安全阀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sym w:font="Wingdings 2" w:char="0052"/>
            </w:r>
            <w:r>
              <w:rPr>
                <w:rFonts w:hint="eastAsia"/>
              </w:rPr>
              <w:t>危险品使用</w:t>
            </w:r>
            <w:r>
              <w:rPr>
                <w:rFonts w:hint="eastAsia" w:ascii="Wingdings" w:hAnsi="Wingdings"/>
                <w:lang w:eastAsia="zh-CN"/>
              </w:rPr>
              <w:sym w:font="Wingdings 2" w:char="0052"/>
            </w:r>
            <w:r>
              <w:rPr>
                <w:rFonts w:hint="eastAsia"/>
              </w:rPr>
              <w:t>厂区和车间内布局</w:t>
            </w:r>
            <w:r>
              <w:rPr>
                <w:rFonts w:hint="eastAsia" w:ascii="Wingdings" w:hAnsi="Wingdings"/>
                <w:lang w:eastAsia="zh-CN"/>
              </w:rPr>
              <w:sym w:font="Wingdings 2" w:char="0052"/>
            </w:r>
            <w:r>
              <w:rPr>
                <w:rFonts w:hint="eastAsia"/>
              </w:rPr>
              <w:t>设备设施</w:t>
            </w:r>
            <w:r>
              <w:rPr>
                <w:rFonts w:hint="eastAsia" w:ascii="Wingdings" w:hAnsi="Wingdings"/>
                <w:lang w:eastAsia="zh-CN"/>
              </w:rPr>
              <w:sym w:font="Wingdings 2" w:char="0052"/>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sym w:font="Wingdings 2" w:char="0052"/>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10</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default" w:eastAsia="宋体"/>
                <w:lang w:val="en-US" w:eastAsia="zh-CN"/>
              </w:rPr>
            </w:pPr>
            <w:r>
              <w:rPr>
                <w:rFonts w:hint="eastAsia"/>
              </w:rPr>
              <w:t>实施合规性评价的时间：</w:t>
            </w:r>
            <w:r>
              <w:rPr>
                <w:rFonts w:hint="eastAsia"/>
                <w:lang w:val="en-US" w:eastAsia="zh-CN"/>
              </w:rPr>
              <w:t>2022-2-9</w:t>
            </w:r>
          </w:p>
          <w:p>
            <w:r>
              <w:rPr>
                <w:rFonts w:hint="eastAsia" w:ascii="Wingdings" w:hAnsi="Wingdings"/>
                <w:lang w:eastAsia="zh-CN"/>
              </w:rPr>
              <w:sym w:font="Wingdings 2" w:char="0052"/>
            </w:r>
            <w:r>
              <w:rPr>
                <w:rFonts w:hint="eastAsia"/>
              </w:rPr>
              <w:t>定期（每年）：年月日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r>
              <w:rPr>
                <w:rFonts w:hint="eastAsia"/>
                <w:lang w:val="en-US" w:eastAsia="zh-CN"/>
              </w:rPr>
              <w:t>2021GJ0096</w:t>
            </w:r>
            <w:r>
              <w:rPr>
                <w:rFonts w:hint="eastAsia"/>
              </w:rPr>
              <w:t>。</w:t>
            </w:r>
          </w:p>
          <w:p>
            <w:r>
              <w:rPr>
                <w:rFonts w:hint="eastAsia" w:eastAsia="宋体"/>
                <w:lang w:eastAsia="zh-CN"/>
              </w:rPr>
              <w:drawing>
                <wp:anchor distT="0" distB="0" distL="114300" distR="114300" simplePos="0" relativeHeight="251661312" behindDoc="0" locked="0" layoutInCell="1" allowOverlap="1">
                  <wp:simplePos x="0" y="0"/>
                  <wp:positionH relativeFrom="column">
                    <wp:posOffset>1310640</wp:posOffset>
                  </wp:positionH>
                  <wp:positionV relativeFrom="paragraph">
                    <wp:posOffset>147955</wp:posOffset>
                  </wp:positionV>
                  <wp:extent cx="2339340" cy="259080"/>
                  <wp:effectExtent l="0" t="0" r="7620" b="0"/>
                  <wp:wrapNone/>
                  <wp:docPr id="1" name="图片 1" descr="微信截图_2022041711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20417111158"/>
                          <pic:cNvPicPr>
                            <a:picLocks noChangeAspect="1"/>
                          </pic:cNvPicPr>
                        </pic:nvPicPr>
                        <pic:blipFill>
                          <a:blip r:embed="rId7"/>
                          <a:stretch>
                            <a:fillRect/>
                          </a:stretch>
                        </pic:blipFill>
                        <pic:spPr>
                          <a:xfrm>
                            <a:off x="0" y="0"/>
                            <a:ext cx="2339340" cy="259080"/>
                          </a:xfrm>
                          <a:prstGeom prst="rect">
                            <a:avLst/>
                          </a:prstGeom>
                        </pic:spPr>
                      </pic:pic>
                    </a:graphicData>
                  </a:graphic>
                </wp:anchor>
              </w:drawing>
            </w:r>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pPr>
              <w:rPr>
                <w:rFonts w:hint="default" w:eastAsia="宋体"/>
                <w:lang w:val="en-US" w:eastAsia="zh-CN"/>
              </w:rPr>
            </w:pPr>
            <w:r>
              <w:rPr>
                <w:rFonts w:hint="eastAsia"/>
              </w:rPr>
              <w:t>《职业病体检》编号：</w:t>
            </w:r>
            <w:r>
              <w:rPr>
                <w:rFonts w:hint="eastAsia"/>
                <w:lang w:val="en-US" w:eastAsia="zh-CN"/>
              </w:rPr>
              <w:t xml:space="preserve">                                    2022年2月20日； </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5~6</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sym w:font="Wingdings 2" w:char="0052"/>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19</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sym w:font="Wingdings 2" w:char="0052"/>
            </w:r>
            <w:r>
              <w:rPr>
                <w:rFonts w:hint="eastAsia"/>
              </w:rPr>
              <w:t>未遂事件</w:t>
            </w:r>
            <w:r>
              <w:rPr>
                <w:rFonts w:hint="eastAsia" w:ascii="Wingdings" w:hAnsi="Wingdings"/>
                <w:lang w:eastAsia="zh-CN"/>
              </w:rPr>
              <w:sym w:font="Wingdings 2" w:char="0052"/>
            </w:r>
            <w:r>
              <w:rPr>
                <w:rFonts w:hint="eastAsia"/>
              </w:rPr>
              <w:t>工伤事件</w:t>
            </w:r>
            <w:r>
              <w:rPr>
                <w:rFonts w:hint="eastAsia" w:ascii="Wingdings" w:hAnsi="Wingdings"/>
                <w:lang w:eastAsia="zh-CN"/>
              </w:rPr>
              <w:sym w:font="Wingdings 2" w:char="0052"/>
            </w:r>
            <w:r>
              <w:rPr>
                <w:rFonts w:hint="eastAsia"/>
              </w:rPr>
              <w:t>职业病体检</w:t>
            </w:r>
            <w:r>
              <w:rPr>
                <w:rFonts w:hint="eastAsia" w:ascii="Wingdings" w:hAnsi="Wingdings"/>
                <w:lang w:eastAsia="zh-CN"/>
              </w:rPr>
              <w:sym w:font="Wingdings 2" w:char="0052"/>
            </w:r>
            <w:r>
              <w:rPr>
                <w:rFonts w:hint="eastAsia"/>
              </w:rPr>
              <w:t>危化品泄露</w:t>
            </w:r>
            <w:r>
              <w:rPr>
                <w:rFonts w:hint="eastAsia" w:ascii="Wingdings" w:hAnsi="Wingdings"/>
                <w:lang w:eastAsia="zh-CN"/>
              </w:rPr>
              <w:sym w:font="Wingdings 2" w:char="0052"/>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A16D5F"/>
    <w:rsid w:val="112D663A"/>
    <w:rsid w:val="1900090C"/>
    <w:rsid w:val="1D905ED7"/>
    <w:rsid w:val="2BBC232E"/>
    <w:rsid w:val="322C4BFB"/>
    <w:rsid w:val="342A1A64"/>
    <w:rsid w:val="41A46B3C"/>
    <w:rsid w:val="55A2500C"/>
    <w:rsid w:val="5716387C"/>
    <w:rsid w:val="67317C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spacing w:line="400" w:lineRule="atLeast"/>
      <w:jc w:val="center"/>
      <w:outlineLvl w:val="1"/>
    </w:pPr>
    <w:rPr>
      <w:spacing w:val="8"/>
      <w:sz w:val="36"/>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spacing w:line="312" w:lineRule="auto"/>
    </w:pPr>
    <w:rPr>
      <w:rFonts w:ascii="Arial" w:hAnsi="Arial" w:eastAsia="楷体_GB2312"/>
      <w:spacing w:val="20"/>
      <w:sz w:val="24"/>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20255</Words>
  <Characters>21261</Characters>
  <Lines>150</Lines>
  <Paragraphs>42</Paragraphs>
  <TotalTime>4</TotalTime>
  <ScaleCrop>false</ScaleCrop>
  <LinksUpToDate>false</LinksUpToDate>
  <CharactersWithSpaces>21441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2022-04-17T05:41:32Z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