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55"/>
        <w:gridCol w:w="525"/>
        <w:gridCol w:w="243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浙江华艺盛纺织股份有限公司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浙江省湖州市南浔区石淙镇镇西工业区588号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浙江省湖州市南浔区石淙镇镇西工业区588号/浙江省湖州市南浔区善琏镇富祥路288号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谈雅梅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15088390691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956570476@qq.com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0145-2021-QEOEnMS-2022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Q：胚布、围巾、丝巾的设计、生产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E：胚布、围巾、丝巾的设计、生产所涉及场所的相关环境管理活动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O：胚布、围巾、丝巾的设计、生产所涉及场所的相关职业健康安全管理活动</w:t>
            </w:r>
            <w:bookmarkEnd w:id="20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Q：04.02.00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O：04.02.00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2022年04月16日 上午至2022年04月17日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2.0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06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2021-N1QMS-5059501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2019-N1OHSMS-2059501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O:04.02.00</w:t>
            </w:r>
          </w:p>
        </w:tc>
        <w:tc>
          <w:tcPr>
            <w:tcW w:w="147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20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王献华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2021-N1QMS-1244982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2021-N1EMS-1244982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2021-N1OHSMS-1244982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13758100841</w:t>
            </w:r>
          </w:p>
        </w:tc>
        <w:tc>
          <w:tcPr>
            <w:tcW w:w="120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3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0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  <w:gridSpan w:val="5"/>
            <w:vAlign w:val="center"/>
          </w:tcPr>
          <w:p/>
        </w:tc>
        <w:tc>
          <w:tcPr>
            <w:tcW w:w="120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73" w:type="dxa"/>
            <w:gridSpan w:val="5"/>
            <w:vAlign w:val="center"/>
          </w:tcPr>
          <w:p/>
        </w:tc>
        <w:tc>
          <w:tcPr>
            <w:tcW w:w="120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审核派遣人"/>
            <w:r>
              <w:rPr>
                <w:sz w:val="21"/>
                <w:szCs w:val="21"/>
              </w:rPr>
              <w:t>李永忠</w:t>
            </w:r>
            <w:bookmarkEnd w:id="31"/>
          </w:p>
        </w:tc>
        <w:tc>
          <w:tcPr>
            <w:tcW w:w="1467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7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13588800890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2022-4-16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73"/>
        <w:gridCol w:w="1003"/>
        <w:gridCol w:w="4584"/>
        <w:gridCol w:w="1860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9" w:type="dxa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58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68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-16</w:t>
            </w:r>
          </w:p>
        </w:tc>
        <w:tc>
          <w:tcPr>
            <w:tcW w:w="1373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08:30~9:00</w:t>
            </w:r>
          </w:p>
        </w:tc>
        <w:tc>
          <w:tcPr>
            <w:tcW w:w="1003" w:type="dxa"/>
            <w:shd w:val="clear" w:color="auto" w:fill="FFFFFF" w:themeFill="background1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584" w:type="dxa"/>
            <w:shd w:val="clear" w:color="auto" w:fill="FFFFFF" w:themeFill="background1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60" w:type="dxa"/>
            <w:shd w:val="clear" w:color="auto" w:fill="FFFFFF" w:themeFill="background1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8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-16</w:t>
            </w:r>
          </w:p>
        </w:tc>
        <w:tc>
          <w:tcPr>
            <w:tcW w:w="1373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09:00~12:00</w:t>
            </w:r>
          </w:p>
        </w:tc>
        <w:tc>
          <w:tcPr>
            <w:tcW w:w="1003" w:type="dxa"/>
            <w:shd w:val="clear" w:color="auto" w:fill="FFFFFF" w:themeFill="background1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45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管理体系策划情况，过程识别和策划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/>
                <w:sz w:val="21"/>
                <w:szCs w:val="21"/>
              </w:rPr>
              <w:t>；组织机构领导承诺及职责权限、管理方针和目标的适宜性；风险机制的建立和控制情况；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资源的配备情况、变更</w:t>
            </w:r>
            <w:r>
              <w:rPr>
                <w:rFonts w:hint="eastAsia"/>
                <w:sz w:val="21"/>
                <w:szCs w:val="21"/>
              </w:rPr>
              <w:t>管理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内审、管理</w:t>
            </w:r>
            <w:r>
              <w:rPr>
                <w:rFonts w:hint="eastAsia"/>
                <w:sz w:val="21"/>
                <w:szCs w:val="21"/>
              </w:rPr>
              <w:t>评审策划和实施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及持续改进情况。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b/>
                <w:bCs/>
                <w:sz w:val="21"/>
                <w:szCs w:val="21"/>
              </w:rPr>
              <w:t>:4.1/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4.2/</w:t>
            </w:r>
            <w:r>
              <w:rPr>
                <w:rFonts w:hint="eastAsia"/>
                <w:b/>
                <w:bCs/>
                <w:sz w:val="21"/>
                <w:szCs w:val="21"/>
              </w:rPr>
              <w:t>4.3/4.4/5.1/5.2/5.3/6.1/6.2/7.1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/9.2/</w:t>
            </w:r>
            <w:r>
              <w:rPr>
                <w:rFonts w:hint="eastAsia"/>
                <w:b/>
                <w:bCs/>
                <w:sz w:val="21"/>
                <w:szCs w:val="21"/>
              </w:rPr>
              <w:t>9.3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/10.1/；  Q6.3</w:t>
            </w:r>
          </w:p>
        </w:tc>
        <w:tc>
          <w:tcPr>
            <w:tcW w:w="68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-16</w:t>
            </w:r>
          </w:p>
        </w:tc>
        <w:tc>
          <w:tcPr>
            <w:tcW w:w="1373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09:00~12:00</w:t>
            </w:r>
          </w:p>
        </w:tc>
        <w:tc>
          <w:tcPr>
            <w:tcW w:w="1003" w:type="dxa"/>
            <w:shd w:val="clear" w:color="auto" w:fill="FFFFFF" w:themeFill="background1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4584" w:type="dxa"/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质检部的职责落实情况；QEO目标的策划及完成情况；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计量器具、</w:t>
            </w:r>
            <w:bookmarkStart w:id="32" w:name="_GoBack"/>
            <w:bookmarkEnd w:id="32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产品质量标准、产品放行及不合格产品的控制；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EO体系运行控制；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环境因素识别及重要环境因素控制情况；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危险源辨识、风险评价及重大风险、重大隐患的控制情况；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QEO体系不符合纠正情况和持续改进情况；</w:t>
            </w:r>
          </w:p>
          <w:p>
            <w:pPr>
              <w:numPr>
                <w:ilvl w:val="0"/>
                <w:numId w:val="0"/>
              </w:num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QEO运行控制情况。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EO:5.3/6.2/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8.1/8.6/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8.7; EO :6.1.2/8.1/8.2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68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12:00~13:00</w:t>
            </w:r>
          </w:p>
        </w:tc>
        <w:tc>
          <w:tcPr>
            <w:tcW w:w="7447" w:type="dxa"/>
            <w:gridSpan w:val="3"/>
            <w:shd w:val="clear" w:color="auto" w:fill="FFFFFF" w:themeFill="background1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68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-16</w:t>
            </w:r>
          </w:p>
        </w:tc>
        <w:tc>
          <w:tcPr>
            <w:tcW w:w="1373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~16:00</w:t>
            </w:r>
          </w:p>
        </w:tc>
        <w:tc>
          <w:tcPr>
            <w:tcW w:w="1003" w:type="dxa"/>
            <w:shd w:val="clear" w:color="auto" w:fill="FFFFFF" w:themeFill="background1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45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部门职责权限落实情况；风险机制的建立和控制情况；QEO目标指标完成情况；管理体系控制情况；沟通；文件化信息；事件、不合格及纠正措施；持续改进；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环境因素识别及重要环境因素管理控制情况；危险源辨识、风险评价及重大风险、重大隐患管理控制情况；环境和职业健康安全合规义务、法律法规识别的及合规性评价情况；重要环境因素（如化学品）管理及控制；应急管理；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5.3/6.1/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6.2/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7.4/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7.5/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 xml:space="preserve">10.2/10.3;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 xml:space="preserve">Q6.3/7.1.6; </w:t>
            </w:r>
          </w:p>
        </w:tc>
        <w:tc>
          <w:tcPr>
            <w:tcW w:w="68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-16</w:t>
            </w:r>
          </w:p>
        </w:tc>
        <w:tc>
          <w:tcPr>
            <w:tcW w:w="1373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16:00~17:30</w:t>
            </w:r>
          </w:p>
        </w:tc>
        <w:tc>
          <w:tcPr>
            <w:tcW w:w="1003" w:type="dxa"/>
            <w:shd w:val="clear" w:color="auto" w:fill="FFFFFF" w:themeFill="background1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45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/>
                <w:sz w:val="21"/>
                <w:szCs w:val="21"/>
              </w:rPr>
              <w:t>职责权限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落实情况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指标完成情况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资金</w:t>
            </w:r>
            <w:r>
              <w:rPr>
                <w:rFonts w:hint="eastAsia"/>
                <w:sz w:val="21"/>
                <w:szCs w:val="21"/>
              </w:rPr>
              <w:t>风险控制情况；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.QEO管理体系资金支持；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5.3/66.2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/6.1.2/8.1/8.2</w:t>
            </w:r>
          </w:p>
        </w:tc>
        <w:tc>
          <w:tcPr>
            <w:tcW w:w="68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-16</w:t>
            </w:r>
          </w:p>
        </w:tc>
        <w:tc>
          <w:tcPr>
            <w:tcW w:w="1373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~17:30</w:t>
            </w:r>
          </w:p>
        </w:tc>
        <w:tc>
          <w:tcPr>
            <w:tcW w:w="1003" w:type="dxa"/>
            <w:shd w:val="clear" w:color="auto" w:fill="FFFFFF" w:themeFill="background1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生产部 </w:t>
            </w:r>
          </w:p>
        </w:tc>
        <w:tc>
          <w:tcPr>
            <w:tcW w:w="45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华文细黑" w:hAnsi="华文细黑" w:eastAsia="华文细黑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部门职责权限落实情况；QEO目标指标完成情况；</w:t>
            </w:r>
            <w:r>
              <w:rPr>
                <w:rFonts w:hint="eastAsia"/>
                <w:sz w:val="21"/>
                <w:szCs w:val="21"/>
              </w:rPr>
              <w:t>风险控制情况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;生产</w:t>
            </w:r>
            <w:r>
              <w:rPr>
                <w:rFonts w:hint="eastAsia"/>
                <w:sz w:val="21"/>
                <w:szCs w:val="21"/>
              </w:rPr>
              <w:t>管理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和服务的提供及控制</w:t>
            </w:r>
            <w:r>
              <w:rPr>
                <w:rFonts w:hint="eastAsia"/>
                <w:sz w:val="21"/>
                <w:szCs w:val="21"/>
              </w:rPr>
              <w:t>情况，过程识别和策划的充分性（包括外包过程）；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体系覆盖产品及产品生产关键过程、特殊过程的识别和确认情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环境因素识别及重要环境因素管理控制情况；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危险源辨识、风险评价及重大风险、重大隐患管理控制情况；运行控制（化学品管理和控制、危险固废）；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应急管理；体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系的监视测量、绩效评价；生产现场管理情况。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5.3/6.1/6.2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magenta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Q 8.5; E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O:6.1.2/8.1/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68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4-17</w:t>
            </w:r>
          </w:p>
        </w:tc>
        <w:tc>
          <w:tcPr>
            <w:tcW w:w="1373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8:00~12:00</w:t>
            </w:r>
          </w:p>
        </w:tc>
        <w:tc>
          <w:tcPr>
            <w:tcW w:w="1003" w:type="dxa"/>
            <w:shd w:val="clear" w:color="auto" w:fill="FFFFFF" w:themeFill="background1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45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部门职责权限落实情况；QEO目标指标完成情况；风险控制情况;研发过程控制情况;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境因素识别及重要环境因素管理控制情况；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危险源辨识、风险评价及重大风险、重大隐患管理控制情况；运行控制（化学品管理和控制、危险固废）；应急管理；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5.3/6.1/6.2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; E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O:6.1.2/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8.1/8.2</w:t>
            </w:r>
          </w:p>
        </w:tc>
        <w:tc>
          <w:tcPr>
            <w:tcW w:w="68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4-17</w:t>
            </w:r>
          </w:p>
        </w:tc>
        <w:tc>
          <w:tcPr>
            <w:tcW w:w="1373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8:00~11:00</w:t>
            </w:r>
          </w:p>
        </w:tc>
        <w:tc>
          <w:tcPr>
            <w:tcW w:w="1003" w:type="dxa"/>
            <w:shd w:val="clear" w:color="auto" w:fill="FFFFFF" w:themeFill="background1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45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部门职责权限落实情况；QEO目标指标完成情况；风险控制情况;销售过程控制情况;顾客满意度调查；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境因素识别及重要环境因素管理控制情况；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危险源辨识、风险评价及重大风险、重大隐患管理控制情况；运行控制；应急管理；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5.3/6.1/6.2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; E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O:6.1.2/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8.1/8.2</w:t>
            </w:r>
          </w:p>
        </w:tc>
        <w:tc>
          <w:tcPr>
            <w:tcW w:w="68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4-17</w:t>
            </w:r>
          </w:p>
        </w:tc>
        <w:tc>
          <w:tcPr>
            <w:tcW w:w="1373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11:00~15:00</w:t>
            </w:r>
          </w:p>
        </w:tc>
        <w:tc>
          <w:tcPr>
            <w:tcW w:w="1003" w:type="dxa"/>
            <w:shd w:val="clear" w:color="auto" w:fill="FFFFFF" w:themeFill="background1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45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部门职责权限落实情况；QEO目标指标完成情况；风险控制情况;采购过程控制情况;供应商评价；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境因素识别及重要环境因素管理控制情况；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危险源辨识、风险评价及重大风险、重大隐患管理控制情况；运行控制；应急管理；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5.3/6.1/6.2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8.4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; E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O:6.1.2/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8.1/8.2</w:t>
            </w:r>
          </w:p>
        </w:tc>
        <w:tc>
          <w:tcPr>
            <w:tcW w:w="68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4-17</w:t>
            </w:r>
          </w:p>
        </w:tc>
        <w:tc>
          <w:tcPr>
            <w:tcW w:w="1373" w:type="dxa"/>
            <w:shd w:val="clear" w:color="auto" w:fill="FFFFFF" w:themeFill="background1"/>
          </w:tcPr>
          <w:p>
            <w:pPr>
              <w:tabs>
                <w:tab w:val="center" w:pos="578"/>
              </w:tabs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12:00~13:00</w:t>
            </w:r>
          </w:p>
        </w:tc>
        <w:tc>
          <w:tcPr>
            <w:tcW w:w="7447" w:type="dxa"/>
            <w:gridSpan w:val="3"/>
            <w:shd w:val="clear" w:color="auto" w:fill="FFFFFF" w:themeFill="background1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default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68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4-17</w:t>
            </w:r>
          </w:p>
        </w:tc>
        <w:tc>
          <w:tcPr>
            <w:tcW w:w="1373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13:00~15:00</w:t>
            </w:r>
          </w:p>
        </w:tc>
        <w:tc>
          <w:tcPr>
            <w:tcW w:w="1003" w:type="dxa"/>
            <w:shd w:val="clear" w:color="auto" w:fill="FFFFFF" w:themeFill="background1"/>
            <w:vAlign w:val="top"/>
          </w:tcPr>
          <w:p>
            <w:pPr>
              <w:spacing w:line="300" w:lineRule="exact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4584" w:type="dxa"/>
            <w:shd w:val="clear" w:color="auto" w:fill="FFFFFF" w:themeFill="background1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环境因素识别及重要环境因素管理控制情况；危险源辨识、风险评价及重大风险、重大隐患管理控制情况；环境和职业健康安全合规义务、法律法规识别的及合规性评价情况；重要环境因素（如化学品）管理及控制；应急管理；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u w:val="single"/>
                <w:lang w:val="en-US" w:eastAsia="zh-CN"/>
              </w:rPr>
              <w:t>O:</w:t>
            </w:r>
            <w:r>
              <w:rPr>
                <w:rFonts w:hint="eastAsia" w:cs="Times New Roman"/>
                <w:b/>
                <w:bCs/>
                <w:sz w:val="21"/>
                <w:szCs w:val="21"/>
                <w:u w:val="single"/>
                <w:lang w:val="en-US" w:eastAsia="zh-CN"/>
              </w:rPr>
              <w:t>6.1.2/6.1.3/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u w:val="single"/>
                <w:lang w:val="en-US" w:eastAsia="zh-CN"/>
              </w:rPr>
              <w:t>9.1.2/8.1/8.2</w:t>
            </w:r>
            <w:r>
              <w:rPr>
                <w:rFonts w:hint="eastAsia" w:cs="Times New Roman"/>
                <w:b/>
                <w:bCs/>
                <w:sz w:val="21"/>
                <w:szCs w:val="21"/>
                <w:u w:val="single"/>
                <w:lang w:val="en-US" w:eastAsia="zh-CN"/>
              </w:rPr>
              <w:t>;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8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4-17</w:t>
            </w:r>
          </w:p>
        </w:tc>
        <w:tc>
          <w:tcPr>
            <w:tcW w:w="1373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~16:30</w:t>
            </w:r>
          </w:p>
        </w:tc>
        <w:tc>
          <w:tcPr>
            <w:tcW w:w="1003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584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\</w:t>
            </w:r>
            <w:r>
              <w:rPr>
                <w:rFonts w:hint="eastAsia"/>
                <w:sz w:val="21"/>
                <w:szCs w:val="21"/>
              </w:rPr>
              <w:t>审核组整理资料</w:t>
            </w:r>
          </w:p>
        </w:tc>
        <w:tc>
          <w:tcPr>
            <w:tcW w:w="1860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68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4-17</w:t>
            </w:r>
          </w:p>
        </w:tc>
        <w:tc>
          <w:tcPr>
            <w:tcW w:w="1373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:30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~17:00</w:t>
            </w:r>
          </w:p>
        </w:tc>
        <w:tc>
          <w:tcPr>
            <w:tcW w:w="1003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584" w:type="dxa"/>
            <w:shd w:val="clear" w:color="auto" w:fill="FFFFFF" w:themeFill="background1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末次会议，与受审核方沟通；</w:t>
            </w: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;审核结束</w:t>
            </w:r>
          </w:p>
        </w:tc>
        <w:tc>
          <w:tcPr>
            <w:tcW w:w="1860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8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81650"/>
    <w:rsid w:val="08A6130D"/>
    <w:rsid w:val="0E587282"/>
    <w:rsid w:val="10AB744C"/>
    <w:rsid w:val="13736C6E"/>
    <w:rsid w:val="17123CEE"/>
    <w:rsid w:val="1A444630"/>
    <w:rsid w:val="21035CD9"/>
    <w:rsid w:val="285259F9"/>
    <w:rsid w:val="2A3C5105"/>
    <w:rsid w:val="325922CF"/>
    <w:rsid w:val="3D6D0661"/>
    <w:rsid w:val="46C2788C"/>
    <w:rsid w:val="58050B0D"/>
    <w:rsid w:val="5D1F1F07"/>
    <w:rsid w:val="5E3C260B"/>
    <w:rsid w:val="5F5A68BC"/>
    <w:rsid w:val="6BB35912"/>
    <w:rsid w:val="6CF20D20"/>
    <w:rsid w:val="70897964"/>
    <w:rsid w:val="728306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2273</Words>
  <Characters>3377</Characters>
  <Lines>37</Lines>
  <Paragraphs>10</Paragraphs>
  <TotalTime>6</TotalTime>
  <ScaleCrop>false</ScaleCrop>
  <LinksUpToDate>false</LinksUpToDate>
  <CharactersWithSpaces>3464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2022-04-17T05:36:04Z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