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0316-2022-Q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成都声立德克技术有限公司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rPr>
          <w:rFonts w:hint="eastAsia"/>
        </w:rPr>
      </w:pPr>
    </w:p>
    <w:p>
      <w:pPr>
        <w:pStyle w:val="14"/>
        <w:rPr>
          <w:rFonts w:hint="eastAsia"/>
        </w:rPr>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成都声立德克技术有限公司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四川省成都高新区高朋东路8号</w:t>
            </w:r>
            <w:bookmarkEnd w:id="6"/>
          </w:p>
        </w:tc>
        <w:tc>
          <w:tcPr>
            <w:tcW w:w="1242" w:type="dxa"/>
            <w:vMerge w:val="restart"/>
            <w:vAlign w:val="center"/>
          </w:tcPr>
          <w:p>
            <w:r>
              <w:rPr>
                <w:rFonts w:hint="eastAsia"/>
              </w:rPr>
              <w:t>邮编</w:t>
            </w:r>
          </w:p>
        </w:tc>
        <w:tc>
          <w:tcPr>
            <w:tcW w:w="1771" w:type="dxa"/>
          </w:tcPr>
          <w:p>
            <w:bookmarkStart w:id="7" w:name="注册邮编"/>
            <w:r>
              <w:t>610200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成都浩朗科技园2区第301,501号</w:t>
            </w:r>
            <w:bookmarkEnd w:id="8"/>
          </w:p>
        </w:tc>
        <w:tc>
          <w:tcPr>
            <w:tcW w:w="1242" w:type="dxa"/>
            <w:vMerge w:val="continue"/>
            <w:vAlign w:val="center"/>
          </w:tcPr>
          <w:p/>
        </w:tc>
        <w:tc>
          <w:tcPr>
            <w:tcW w:w="1771" w:type="dxa"/>
          </w:tcPr>
          <w:p>
            <w:bookmarkStart w:id="9" w:name="办公邮编"/>
            <w:r>
              <w:t>610200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陈明</w:t>
            </w:r>
            <w:bookmarkEnd w:id="10"/>
          </w:p>
        </w:tc>
        <w:tc>
          <w:tcPr>
            <w:tcW w:w="1313" w:type="dxa"/>
            <w:vAlign w:val="center"/>
          </w:tcPr>
          <w:p>
            <w:r>
              <w:rPr>
                <w:rFonts w:hint="eastAsia"/>
              </w:rPr>
              <w:t>电话.</w:t>
            </w:r>
          </w:p>
        </w:tc>
        <w:tc>
          <w:tcPr>
            <w:tcW w:w="2180" w:type="dxa"/>
            <w:vAlign w:val="center"/>
          </w:tcPr>
          <w:p>
            <w:bookmarkStart w:id="11" w:name="联系人电话"/>
            <w:r>
              <w:t>028-85121265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SHEN CHANG</w:t>
            </w:r>
            <w:bookmarkEnd w:id="13"/>
          </w:p>
        </w:tc>
        <w:tc>
          <w:tcPr>
            <w:tcW w:w="1313" w:type="dxa"/>
            <w:vAlign w:val="center"/>
          </w:tcPr>
          <w:p>
            <w:r>
              <w:rPr>
                <w:rFonts w:hint="eastAsia"/>
              </w:rPr>
              <w:t>管理者代表</w:t>
            </w:r>
          </w:p>
        </w:tc>
        <w:tc>
          <w:tcPr>
            <w:tcW w:w="2180" w:type="dxa"/>
          </w:tcPr>
          <w:p>
            <w:bookmarkStart w:id="14" w:name="管理者代表"/>
            <w:r>
              <w:t>赵洪富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napToGrid w:val="0"/>
              <w:spacing w:line="280" w:lineRule="exact"/>
              <w:jc w:val="left"/>
              <w:rPr>
                <w:rFonts w:hint="eastAsia" w:cs="Times New Roman" w:asciiTheme="minorEastAsia" w:hAnsiTheme="minorEastAsia" w:eastAsiaTheme="minorEastAsia"/>
                <w:bCs/>
                <w:iCs/>
                <w:szCs w:val="22"/>
              </w:rPr>
            </w:pPr>
            <w:r>
              <w:rPr>
                <w:rFonts w:hint="eastAsia" w:cs="Times New Roman" w:asciiTheme="minorEastAsia" w:hAnsiTheme="minorEastAsia" w:eastAsiaTheme="minorEastAsia"/>
                <w:bCs/>
                <w:iCs/>
                <w:szCs w:val="22"/>
              </w:rPr>
              <w:t>超声波水表、超声波热能表流程：部件采购——组装——调试——检验——包装——入库。</w:t>
            </w:r>
          </w:p>
          <w:p>
            <w:pPr>
              <w:snapToGrid w:val="0"/>
              <w:spacing w:line="280" w:lineRule="exact"/>
              <w:jc w:val="left"/>
            </w:pPr>
            <w:r>
              <w:rPr>
                <w:rFonts w:hint="eastAsia" w:cs="Times New Roman" w:asciiTheme="minorEastAsia" w:hAnsiTheme="minorEastAsia" w:eastAsiaTheme="minorEastAsia"/>
                <w:bCs/>
                <w:iCs/>
                <w:szCs w:val="22"/>
              </w:rPr>
              <w:t>计算机信息系统集成流程：签订合同——拟定方案——安装、调试——验收——交付</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2022年04月14日 下午至2022年04月16日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超声波水表、超声波热能表的组装；计算机信息系统集成</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19.05.01;33.02.02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四川省成都高新区高朋东路8号</w:t>
            </w:r>
          </w:p>
        </w:tc>
        <w:tc>
          <w:tcPr>
            <w:tcW w:w="2267" w:type="dxa"/>
          </w:tcPr>
          <w:p>
            <w:pPr>
              <w:rPr>
                <w:lang w:val="de-DE" w:eastAsia="ja-JP"/>
              </w:rPr>
            </w:pPr>
            <w:r>
              <w:rPr>
                <w:rFonts w:asciiTheme="minorEastAsia" w:hAnsiTheme="minorEastAsia" w:eastAsiaTheme="minorEastAsia"/>
                <w:sz w:val="20"/>
              </w:rPr>
              <w:t>成都浩朗科技园2区第301,501号</w:t>
            </w:r>
          </w:p>
        </w:tc>
        <w:tc>
          <w:tcPr>
            <w:tcW w:w="571" w:type="dxa"/>
            <w:vAlign w:val="center"/>
          </w:tcPr>
          <w:p>
            <w:pPr>
              <w:rPr>
                <w:rFonts w:hint="default" w:eastAsia="宋体"/>
                <w:lang w:val="en-US" w:eastAsia="zh-CN"/>
              </w:rPr>
            </w:pPr>
            <w:r>
              <w:rPr>
                <w:rFonts w:hint="eastAsia"/>
                <w:lang w:val="en-US" w:eastAsia="zh-CN"/>
              </w:rPr>
              <w:t>37</w:t>
            </w:r>
          </w:p>
        </w:tc>
        <w:tc>
          <w:tcPr>
            <w:tcW w:w="2803" w:type="dxa"/>
            <w:vAlign w:val="center"/>
          </w:tcPr>
          <w:p>
            <w:pPr>
              <w:rPr>
                <w:lang w:eastAsia="ja-JP"/>
              </w:rPr>
            </w:pPr>
            <w:r>
              <w:rPr>
                <w:sz w:val="20"/>
              </w:rPr>
              <w:t>超声波水表、超声波热能表的组装；计算机信息系统集成</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帅婷婷</w:t>
            </w:r>
          </w:p>
        </w:tc>
        <w:tc>
          <w:tcPr>
            <w:tcW w:w="1089" w:type="dxa"/>
            <w:vAlign w:val="center"/>
          </w:tcPr>
          <w:p>
            <w:r>
              <w:t>组员</w:t>
            </w:r>
          </w:p>
        </w:tc>
        <w:tc>
          <w:tcPr>
            <w:tcW w:w="711" w:type="dxa"/>
            <w:vAlign w:val="center"/>
          </w:tcPr>
          <w:p>
            <w:r>
              <w:t>女</w:t>
            </w:r>
          </w:p>
        </w:tc>
        <w:tc>
          <w:tcPr>
            <w:tcW w:w="3870" w:type="dxa"/>
            <w:vAlign w:val="center"/>
          </w:tcPr>
          <w:p>
            <w:r>
              <w:t>ISC-JSZJ-522</w:t>
            </w:r>
          </w:p>
          <w:p>
            <w:r>
              <w:t>迈拓仪表股份有限公司</w:t>
            </w:r>
          </w:p>
        </w:tc>
        <w:tc>
          <w:tcPr>
            <w:tcW w:w="2179" w:type="dxa"/>
            <w:vAlign w:val="center"/>
          </w:tcPr>
          <w:p>
            <w: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142240</wp:posOffset>
                  </wp:positionH>
                  <wp:positionV relativeFrom="paragraph">
                    <wp:posOffset>97155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ind w:left="559" w:leftChars="266"/>
              <w:rPr>
                <w:rFonts w:hint="eastAsia" w:eastAsia="宋体"/>
                <w:u w:val="single"/>
                <w:lang w:eastAsia="zh-CN"/>
              </w:rPr>
            </w:pPr>
            <w:r>
              <w:rPr>
                <w:rFonts w:hint="eastAsia"/>
              </w:rPr>
              <w:t>最高管理者制定了文件化的管理体系方针</w:t>
            </w:r>
            <w:r>
              <w:rPr>
                <w:rFonts w:hint="eastAsia" w:ascii="Times New Roman" w:hAnsi="Times New Roman" w:eastAsia="宋体" w:cs="Times New Roman"/>
              </w:rPr>
              <w:t>：</w:t>
            </w:r>
            <w:r>
              <w:rPr>
                <w:rFonts w:hint="eastAsia" w:ascii="Times New Roman" w:hAnsi="Times New Roman" w:eastAsia="宋体" w:cs="Times New Roman"/>
                <w:u w:val="single"/>
                <w:lang w:eastAsia="zh-CN"/>
              </w:rPr>
              <w:t>“质量第一、降本增效、精益求精”。</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rPr>
                  </w:pPr>
                  <w:r>
                    <w:rPr>
                      <w:rFonts w:hint="eastAsia" w:ascii="宋体" w:hAnsi="宋体"/>
                      <w:sz w:val="21"/>
                      <w:szCs w:val="21"/>
                    </w:rPr>
                    <w:t>顾客满意</w:t>
                  </w:r>
                  <w:r>
                    <w:rPr>
                      <w:rFonts w:hint="eastAsia" w:ascii="宋体" w:hAnsi="宋体"/>
                      <w:sz w:val="21"/>
                      <w:szCs w:val="21"/>
                      <w:lang w:eastAsia="zh-CN"/>
                    </w:rPr>
                    <w:t>度</w:t>
                  </w:r>
                  <w:r>
                    <w:rPr>
                      <w:rFonts w:hint="eastAsia" w:ascii="宋体" w:hAnsi="宋体"/>
                      <w:sz w:val="21"/>
                      <w:szCs w:val="21"/>
                      <w:lang w:val="en-US" w:eastAsia="zh-CN"/>
                    </w:rPr>
                    <w:t>90分</w:t>
                  </w:r>
                  <w:r>
                    <w:rPr>
                      <w:rFonts w:hint="eastAsia" w:ascii="宋体" w:hAnsi="宋体"/>
                      <w:sz w:val="21"/>
                      <w:szCs w:val="21"/>
                    </w:rPr>
                    <w:t>以上</w:t>
                  </w:r>
                </w:p>
              </w:tc>
              <w:tc>
                <w:tcPr>
                  <w:tcW w:w="3136" w:type="dxa"/>
                  <w:shd w:val="clear" w:color="auto" w:fill="auto"/>
                  <w:vAlign w:val="top"/>
                </w:tcPr>
                <w:p>
                  <w:pPr>
                    <w:widowControl/>
                    <w:spacing w:before="40"/>
                    <w:jc w:val="left"/>
                    <w:rPr>
                      <w:rFonts w:hint="default" w:ascii="Times New Roman" w:hAnsi="Times New Roman" w:eastAsia="宋体" w:cs="Times New Roman"/>
                      <w:lang w:val="en-US" w:eastAsia="zh-CN"/>
                    </w:rPr>
                  </w:pPr>
                  <w:r>
                    <w:rPr>
                      <w:rFonts w:ascii="Arial" w:hAnsi="宋体" w:cs="Arial"/>
                      <w:szCs w:val="21"/>
                      <w:highlight w:val="none"/>
                    </w:rPr>
                    <w:t>（得分</w:t>
                  </w:r>
                  <w:r>
                    <w:rPr>
                      <w:rFonts w:ascii="Arial" w:hAnsi="Arial" w:cs="Arial"/>
                      <w:szCs w:val="21"/>
                      <w:highlight w:val="none"/>
                    </w:rPr>
                    <w:t>×</w:t>
                  </w:r>
                  <w:r>
                    <w:rPr>
                      <w:rFonts w:ascii="Arial" w:hAnsi="宋体" w:cs="Arial"/>
                      <w:szCs w:val="21"/>
                      <w:highlight w:val="none"/>
                    </w:rPr>
                    <w:t>质量加权</w:t>
                  </w:r>
                  <w:r>
                    <w:rPr>
                      <w:rFonts w:ascii="Arial" w:hAnsi="Arial" w:cs="Arial"/>
                      <w:szCs w:val="21"/>
                      <w:highlight w:val="none"/>
                    </w:rPr>
                    <w:t>+</w:t>
                  </w:r>
                  <w:r>
                    <w:rPr>
                      <w:rFonts w:ascii="Arial" w:hAnsi="宋体" w:cs="Arial"/>
                      <w:szCs w:val="21"/>
                      <w:highlight w:val="none"/>
                    </w:rPr>
                    <w:t>得分</w:t>
                  </w:r>
                  <w:r>
                    <w:rPr>
                      <w:rFonts w:ascii="Arial" w:hAnsi="Arial" w:cs="Arial"/>
                      <w:szCs w:val="21"/>
                      <w:highlight w:val="none"/>
                    </w:rPr>
                    <w:t>×</w:t>
                  </w:r>
                  <w:r>
                    <w:rPr>
                      <w:rFonts w:ascii="Arial" w:hAnsi="宋体" w:cs="Arial"/>
                      <w:szCs w:val="21"/>
                      <w:highlight w:val="none"/>
                    </w:rPr>
                    <w:t>价格加权</w:t>
                  </w:r>
                  <w:r>
                    <w:rPr>
                      <w:rFonts w:ascii="Arial" w:hAnsi="Arial" w:cs="Arial"/>
                      <w:szCs w:val="21"/>
                      <w:highlight w:val="none"/>
                    </w:rPr>
                    <w:t>+</w:t>
                  </w:r>
                  <w:r>
                    <w:rPr>
                      <w:rFonts w:ascii="Arial" w:hAnsi="宋体" w:cs="Arial"/>
                      <w:szCs w:val="21"/>
                      <w:highlight w:val="none"/>
                    </w:rPr>
                    <w:t>得分</w:t>
                  </w:r>
                  <w:r>
                    <w:rPr>
                      <w:rFonts w:ascii="Arial" w:hAnsi="Arial" w:cs="Arial"/>
                      <w:szCs w:val="21"/>
                      <w:highlight w:val="none"/>
                    </w:rPr>
                    <w:t>×</w:t>
                  </w:r>
                  <w:r>
                    <w:rPr>
                      <w:rFonts w:ascii="Arial" w:hAnsi="宋体" w:cs="Arial"/>
                      <w:szCs w:val="21"/>
                      <w:highlight w:val="none"/>
                    </w:rPr>
                    <w:t>交付加权</w:t>
                  </w:r>
                  <w:r>
                    <w:rPr>
                      <w:rFonts w:ascii="Arial" w:hAnsi="Arial" w:cs="Arial"/>
                      <w:szCs w:val="21"/>
                      <w:highlight w:val="none"/>
                    </w:rPr>
                    <w:t>+</w:t>
                  </w:r>
                  <w:r>
                    <w:rPr>
                      <w:rFonts w:ascii="Arial" w:hAnsi="宋体" w:cs="Arial"/>
                      <w:szCs w:val="21"/>
                      <w:highlight w:val="none"/>
                    </w:rPr>
                    <w:t>得分</w:t>
                  </w:r>
                  <w:r>
                    <w:rPr>
                      <w:rFonts w:ascii="Arial" w:hAnsi="Arial" w:cs="Arial"/>
                      <w:szCs w:val="21"/>
                      <w:highlight w:val="none"/>
                    </w:rPr>
                    <w:t>×</w:t>
                  </w:r>
                  <w:r>
                    <w:rPr>
                      <w:rFonts w:ascii="Arial" w:hAnsi="宋体" w:cs="Arial"/>
                      <w:szCs w:val="21"/>
                      <w:highlight w:val="none"/>
                    </w:rPr>
                    <w:t>服务加权）</w:t>
                  </w:r>
                  <w:r>
                    <w:rPr>
                      <w:rFonts w:ascii="Arial" w:hAnsi="Arial" w:cs="Arial"/>
                      <w:szCs w:val="21"/>
                      <w:highlight w:val="none"/>
                    </w:rPr>
                    <w:t>/</w:t>
                  </w:r>
                  <w:r>
                    <w:rPr>
                      <w:rFonts w:ascii="Arial" w:hAnsi="宋体" w:cs="Arial"/>
                      <w:szCs w:val="21"/>
                      <w:highlight w:val="none"/>
                    </w:rPr>
                    <w:t>加权总数</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cs="Times New Roman"/>
                      <w:lang w:val="en-US" w:eastAsia="zh-CN"/>
                    </w:rPr>
                    <w:t>营销部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rPr>
                    <w:t>100</w:t>
                  </w: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rPr>
                  </w:pPr>
                  <w:r>
                    <w:rPr>
                      <w:rFonts w:hint="eastAsia" w:ascii="宋体" w:hAnsi="宋体"/>
                      <w:sz w:val="21"/>
                      <w:szCs w:val="21"/>
                      <w:lang w:eastAsia="zh-CN"/>
                    </w:rPr>
                    <w:t>客户反馈处理率100%</w:t>
                  </w:r>
                </w:p>
              </w:tc>
              <w:tc>
                <w:tcPr>
                  <w:tcW w:w="3136" w:type="dxa"/>
                  <w:shd w:val="clear" w:color="auto" w:fill="auto"/>
                  <w:vAlign w:val="top"/>
                </w:tcPr>
                <w:p>
                  <w:pPr>
                    <w:rPr>
                      <w:rFonts w:hint="default" w:ascii="Times New Roman" w:hAnsi="Times New Roman" w:eastAsia="宋体" w:cs="Times New Roman"/>
                      <w:lang w:val="en-US"/>
                    </w:rPr>
                  </w:pPr>
                  <w:r>
                    <w:rPr>
                      <w:rFonts w:ascii="Arial" w:hAnsi="宋体" w:cs="Arial"/>
                      <w:szCs w:val="21"/>
                    </w:rPr>
                    <w:t>客户反馈问题处理次数</w:t>
                  </w:r>
                  <w:r>
                    <w:rPr>
                      <w:rFonts w:ascii="Arial" w:hAnsi="Arial" w:cs="Arial"/>
                      <w:szCs w:val="21"/>
                    </w:rPr>
                    <w:t>/</w:t>
                  </w:r>
                  <w:r>
                    <w:rPr>
                      <w:rFonts w:ascii="Arial" w:hAnsi="宋体" w:cs="Arial"/>
                      <w:szCs w:val="21"/>
                    </w:rPr>
                    <w:t>客户反馈问题总数</w:t>
                  </w:r>
                  <w:r>
                    <w:rPr>
                      <w:rFonts w:ascii="Arial" w:hAnsi="Arial" w:cs="Arial"/>
                      <w:szCs w:val="21"/>
                    </w:rPr>
                    <w:t>×100%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eastAsia="zh-CN"/>
                    </w:rPr>
                  </w:pPr>
                  <w:r>
                    <w:rPr>
                      <w:rFonts w:hint="eastAsia" w:cs="Times New Roman"/>
                      <w:lang w:val="en-US" w:eastAsia="zh-CN"/>
                    </w:rPr>
                    <w:t>生产部</w:t>
                  </w:r>
                </w:p>
              </w:tc>
              <w:tc>
                <w:tcPr>
                  <w:tcW w:w="1774"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cs="Times New Roman"/>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2000</w:t>
            </w:r>
            <w:r>
              <w:rPr>
                <w:rFonts w:hint="eastAsia"/>
                <w:highlight w:val="none"/>
              </w:rPr>
              <w:t>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 xml:space="preserve">1 </w:t>
            </w:r>
            <w:r>
              <w:rPr>
                <w:rFonts w:hint="eastAsia"/>
              </w:rPr>
              <w:t>个；</w:t>
            </w:r>
          </w:p>
          <w:p>
            <w:pPr>
              <w:shd w:val="clear" w:color="auto" w:fill="C7DAF1" w:themeFill="text2" w:themeFillTint="32"/>
              <w:rPr>
                <w:u w:val="single"/>
              </w:rPr>
            </w:pPr>
            <w:r>
              <w:rPr>
                <w:rFonts w:hint="eastAsia"/>
              </w:rPr>
              <w:t>主要生产设备有：</w:t>
            </w:r>
            <w:r>
              <w:rPr>
                <w:rFonts w:hint="eastAsia" w:hAnsi="宋体"/>
                <w:szCs w:val="21"/>
                <w:highlight w:val="none"/>
                <w:u w:val="single"/>
                <w:lang w:eastAsia="zh-CN"/>
              </w:rPr>
              <w:t>办公设备、除湿机、水表检定装置、水表磨损台、手动组装设备</w:t>
            </w:r>
            <w:r>
              <w:rPr>
                <w:rFonts w:hint="eastAsia" w:ascii="宋体" w:hAnsi="宋体" w:eastAsia="宋体" w:cs="宋体"/>
                <w:szCs w:val="21"/>
                <w:highlight w:val="none"/>
              </w:rPr>
              <w:t>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color w:val="000000"/>
                <w:highlight w:val="none"/>
                <w:u w:val="single"/>
                <w:lang w:val="en-US" w:eastAsia="zh-CN"/>
              </w:rPr>
              <w:t>水表检定装置（7台套）、数显卡尺、数字万用表、数字示波器等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rFonts w:hint="eastAsia" w:eastAsia="宋体"/>
                      <w:sz w:val="20"/>
                      <w:lang w:eastAsia="zh-CN"/>
                    </w:rPr>
                    <w:t>超声波水表、超声波热能表的组装；计算机信息系统集成</w:t>
                  </w:r>
                </w:p>
              </w:tc>
              <w:tc>
                <w:tcPr>
                  <w:tcW w:w="2543" w:type="dxa"/>
                </w:tcPr>
                <w:p>
                  <w:pPr>
                    <w:shd w:val="clear" w:color="auto" w:fill="C7DAF1" w:themeFill="text2" w:themeFillTint="32"/>
                    <w:jc w:val="left"/>
                    <w:rPr>
                      <w:rFonts w:hint="eastAsia" w:eastAsia="宋体"/>
                      <w:lang w:eastAsia="zh-CN"/>
                    </w:rPr>
                  </w:pPr>
                  <w:r>
                    <w:rPr>
                      <w:rFonts w:hint="eastAsia" w:ascii="Times New Roman" w:hAnsi="Times New Roman" w:eastAsia="宋体" w:cs="Times New Roman"/>
                      <w:sz w:val="20"/>
                      <w:lang w:val="en-US" w:eastAsia="zh-CN"/>
                    </w:rPr>
                    <w:t>组装</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尺寸、大小等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ascii="宋体" w:hAnsi="宋体" w:cs="宋体"/>
                <w:color w:val="000000"/>
                <w:sz w:val="21"/>
                <w:szCs w:val="21"/>
                <w:u w:val="single"/>
                <w:lang w:val="en-US" w:eastAsia="zh-CN"/>
              </w:rPr>
              <w:t>焊接过程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提供有1）E 产品测试报告及检验报告；2）E 外壳等级检验报告及防爆合格证等。</w:t>
            </w:r>
          </w:p>
          <w:p>
            <w:pPr>
              <w:rPr>
                <w:color w:val="000000"/>
                <w:highlight w:val="none"/>
              </w:rPr>
            </w:pPr>
            <w:r>
              <w:rPr>
                <w:rFonts w:hint="eastAsia" w:eastAsia="宋体"/>
              </w:rPr>
              <w:t>《型式检验报告》，</w:t>
            </w:r>
            <w:r>
              <w:rPr>
                <w:rFonts w:hint="eastAsia"/>
              </w:rPr>
              <w:t>如：</w:t>
            </w:r>
            <w:r>
              <w:rPr>
                <w:rFonts w:hint="eastAsia"/>
                <w:color w:val="000000"/>
                <w:highlight w:val="none"/>
              </w:rPr>
              <w:t>型式检验报告（证据）1：</w:t>
            </w:r>
            <w:r>
              <w:rPr>
                <w:rFonts w:hint="eastAsia"/>
                <w:color w:val="000000"/>
                <w:highlight w:val="none"/>
                <w:lang w:val="en-US" w:eastAsia="zh-CN"/>
              </w:rPr>
              <w:t>NB-IOT超声水表</w:t>
            </w:r>
          </w:p>
          <w:p>
            <w:pPr>
              <w:rPr>
                <w:rFonts w:hint="default" w:eastAsia="宋体"/>
                <w:color w:val="000000"/>
                <w:highlight w:val="none"/>
                <w:u w:val="single"/>
                <w:lang w:val="en-US" w:eastAsia="zh-CN"/>
              </w:rPr>
            </w:pPr>
            <w:r>
              <w:rPr>
                <w:rFonts w:hint="eastAsia"/>
                <w:color w:val="000000"/>
                <w:highlight w:val="none"/>
              </w:rPr>
              <w:t>检测部门名称：</w:t>
            </w:r>
            <w:r>
              <w:rPr>
                <w:rFonts w:hint="eastAsia"/>
                <w:color w:val="000000"/>
                <w:highlight w:val="none"/>
                <w:u w:val="single"/>
              </w:rPr>
              <w:t>；</w:t>
            </w:r>
            <w:r>
              <w:rPr>
                <w:rFonts w:hint="eastAsia"/>
                <w:color w:val="000000"/>
                <w:highlight w:val="none"/>
                <w:u w:val="single"/>
                <w:lang w:val="en-US" w:eastAsia="zh-CN"/>
              </w:rPr>
              <w:t>四川省电子产品监督检验所</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lang w:val="en-US" w:eastAsia="zh-CN"/>
              </w:rPr>
              <w:t>2021-1480</w:t>
            </w:r>
            <w:r>
              <w:rPr>
                <w:rFonts w:hint="eastAsia"/>
                <w:color w:val="000000"/>
                <w:highlight w:val="none"/>
              </w:rPr>
              <w:t>报告日期：</w:t>
            </w:r>
            <w:r>
              <w:rPr>
                <w:rFonts w:hint="eastAsia"/>
                <w:color w:val="000000"/>
                <w:highlight w:val="none"/>
                <w:lang w:val="en-US" w:eastAsia="zh-CN"/>
              </w:rPr>
              <w:t>2021年6月1日-2021年6月3日</w:t>
            </w:r>
          </w:p>
          <w:p>
            <w:pPr>
              <w:rPr>
                <w:color w:val="000000"/>
                <w:highlight w:val="none"/>
              </w:rPr>
            </w:pPr>
            <w:r>
              <w:rPr>
                <w:rFonts w:hint="eastAsia"/>
                <w:color w:val="000000"/>
                <w:highlight w:val="none"/>
              </w:rPr>
              <w:t>执行标准：</w:t>
            </w:r>
            <w:r>
              <w:rPr>
                <w:rFonts w:hint="eastAsia"/>
                <w:color w:val="000000"/>
                <w:highlight w:val="none"/>
                <w:u w:val="single"/>
                <w:lang w:val="en-US" w:eastAsia="zh-CN"/>
              </w:rPr>
              <w:t>GB/T 4208-2017</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lang w:eastAsia="zh-CN"/>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none"/>
              </w:rPr>
            </w:pPr>
          </w:p>
          <w:p>
            <w:pPr>
              <w:rPr>
                <w:rFonts w:hint="default"/>
                <w:color w:val="000000"/>
                <w:highlight w:val="none"/>
                <w:lang w:val="en-US"/>
              </w:rPr>
            </w:pPr>
            <w:r>
              <w:rPr>
                <w:rFonts w:hint="eastAsia"/>
                <w:color w:val="000000"/>
                <w:highlight w:val="none"/>
              </w:rPr>
              <w:t>型式检验报告（证据）</w:t>
            </w:r>
            <w:r>
              <w:rPr>
                <w:rFonts w:hint="eastAsia"/>
                <w:color w:val="000000"/>
                <w:highlight w:val="none"/>
                <w:lang w:val="en-US" w:eastAsia="zh-CN"/>
              </w:rPr>
              <w:t>2</w:t>
            </w:r>
            <w:r>
              <w:rPr>
                <w:rFonts w:hint="eastAsia"/>
                <w:color w:val="000000"/>
                <w:highlight w:val="none"/>
              </w:rPr>
              <w:t>：</w:t>
            </w:r>
            <w:r>
              <w:rPr>
                <w:rFonts w:hint="eastAsia"/>
                <w:color w:val="000000"/>
                <w:highlight w:val="none"/>
                <w:lang w:val="en-US" w:eastAsia="zh-CN"/>
              </w:rPr>
              <w:t>超声波热能表</w:t>
            </w:r>
          </w:p>
          <w:p>
            <w:pPr>
              <w:rPr>
                <w:rFonts w:hint="eastAsia"/>
                <w:color w:val="000000"/>
                <w:highlight w:val="none"/>
                <w:lang w:val="en-US" w:eastAsia="zh-CN"/>
              </w:rPr>
            </w:pPr>
            <w:r>
              <w:rPr>
                <w:rFonts w:hint="eastAsia"/>
                <w:color w:val="000000"/>
                <w:highlight w:val="none"/>
              </w:rPr>
              <w:t>检测部门名称：</w:t>
            </w:r>
            <w:r>
              <w:rPr>
                <w:rFonts w:hint="eastAsia"/>
                <w:color w:val="000000"/>
                <w:highlight w:val="none"/>
                <w:u w:val="single"/>
              </w:rPr>
              <w:t>；</w:t>
            </w:r>
            <w:r>
              <w:rPr>
                <w:rFonts w:hint="eastAsia"/>
                <w:color w:val="000000"/>
                <w:highlight w:val="none"/>
                <w:u w:val="single"/>
                <w:lang w:val="en-US" w:eastAsia="zh-CN"/>
              </w:rPr>
              <w:t>四川省电子产品监督检验所</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lang w:val="en-US" w:eastAsia="zh-CN"/>
              </w:rPr>
              <w:t>2021-1489</w:t>
            </w:r>
            <w:r>
              <w:rPr>
                <w:rFonts w:hint="eastAsia"/>
                <w:color w:val="000000"/>
                <w:highlight w:val="none"/>
              </w:rPr>
              <w:t>报告日期：</w:t>
            </w:r>
            <w:r>
              <w:rPr>
                <w:rFonts w:hint="eastAsia"/>
                <w:color w:val="000000"/>
                <w:highlight w:val="none"/>
                <w:lang w:val="en-US" w:eastAsia="zh-CN"/>
              </w:rPr>
              <w:t>2021年7月6日</w:t>
            </w:r>
          </w:p>
          <w:p>
            <w:pPr>
              <w:rPr>
                <w:color w:val="000000"/>
                <w:u w:val="single"/>
              </w:rPr>
            </w:pPr>
            <w:r>
              <w:rPr>
                <w:rFonts w:hint="eastAsia"/>
                <w:color w:val="000000"/>
                <w:highlight w:val="none"/>
              </w:rPr>
              <w:t>执行标准：</w:t>
            </w:r>
            <w:r>
              <w:rPr>
                <w:rFonts w:hint="eastAsia"/>
                <w:color w:val="000000"/>
                <w:highlight w:val="none"/>
                <w:u w:val="single"/>
                <w:lang w:val="en-US" w:eastAsia="zh-CN"/>
              </w:rPr>
              <w:t>GB/T 2423.1-2008;GB/T 2423.2-2008;GB/T 2423.4-2008;GB/T 4208-2017</w:t>
            </w:r>
            <w:r>
              <w:rPr>
                <w:rFonts w:hint="eastAsia"/>
                <w:color w:val="000000"/>
                <w:highlight w:val="none"/>
                <w:u w:val="single"/>
              </w:rPr>
              <w:t>；</w:t>
            </w:r>
            <w:r>
              <w:rPr>
                <w:rFonts w:hint="eastAsia"/>
                <w:color w:val="000000"/>
                <w:u w:val="none"/>
                <w:lang w:val="en-US" w:eastAsia="zh-CN"/>
              </w:rPr>
              <w:t>。</w:t>
            </w:r>
            <w:r>
              <w:rPr>
                <w:rFonts w:hint="eastAsia"/>
                <w:color w:val="000000"/>
                <w:u w:val="none"/>
              </w:rPr>
              <w:t xml:space="preserve"> </w:t>
            </w:r>
          </w:p>
          <w:p>
            <w:pPr>
              <w:shd w:val="clear" w:color="auto" w:fill="C7DAF1" w:themeFill="text2" w:themeFillTint="32"/>
            </w:pPr>
            <w:r>
              <w:rPr>
                <w:rFonts w:hint="eastAsia"/>
                <w:color w:val="000000"/>
              </w:rPr>
              <w:t>执行标准：</w:t>
            </w:r>
            <w:r>
              <w:rPr>
                <w:rFonts w:hint="eastAsia"/>
                <w:color w:val="000000"/>
                <w:u w:val="single"/>
              </w:rPr>
              <w:t xml:space="preserve"> </w:t>
            </w:r>
            <w:r>
              <w:rPr>
                <w:rFonts w:hint="eastAsia"/>
                <w:color w:val="000000"/>
                <w:u w:val="single"/>
                <w:lang w:val="en-US" w:eastAsia="zh-CN"/>
              </w:rPr>
              <w:t>GB/T6968-2019《膜式燃气表》</w:t>
            </w:r>
            <w:r>
              <w:rPr>
                <w:color w:val="000000"/>
                <w:u w:val="single"/>
              </w:rPr>
              <w:t xml:space="preserve">   </w:t>
            </w:r>
            <w:r>
              <w:rPr>
                <w:rFonts w:hint="eastAsia"/>
                <w:color w:val="000000"/>
                <w:u w:val="single"/>
              </w:rPr>
              <w:t>；</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ascii="宋体" w:hAnsi="宋体" w:cs="宋体"/>
                <w:szCs w:val="21"/>
                <w:highlight w:val="none"/>
                <w:u w:val="single"/>
                <w:lang w:eastAsia="zh-CN"/>
              </w:rPr>
              <w:t>2022年3月16日-17日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olor w:val="auto"/>
                <w:u w:val="single"/>
                <w:lang w:eastAsia="zh-CN"/>
              </w:rPr>
              <w:t>2022年3月25日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highlight w:val="none"/>
                <w:lang w:val="en-US" w:eastAsia="zh-CN"/>
              </w:rPr>
            </w:pPr>
            <w:r>
              <w:rPr>
                <w:rFonts w:hint="eastAsia" w:eastAsia="宋体"/>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bookmarkStart w:id="34" w:name="_GoBack"/>
            <w:bookmarkEnd w:id="34"/>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0C3E392D"/>
    <w:rsid w:val="29D97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1"/>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7861</Words>
  <Characters>8407</Characters>
  <Lines>150</Lines>
  <Paragraphs>42</Paragraphs>
  <TotalTime>0</TotalTime>
  <ScaleCrop>false</ScaleCrop>
  <LinksUpToDate>false</LinksUpToDate>
  <CharactersWithSpaces>8524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2022-05-02T16:32:05Z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