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center"/>
              <w:rPr>
                <w:rFonts w:hint="eastAsia"/>
                <w:b/>
                <w:sz w:val="22"/>
                <w:szCs w:val="22"/>
              </w:rPr>
            </w:pPr>
            <w:bookmarkStart w:id="0" w:name="组织名称"/>
            <w:r>
              <w:rPr>
                <w:rFonts w:hint="eastAsia"/>
                <w:b/>
                <w:sz w:val="22"/>
                <w:szCs w:val="22"/>
              </w:rPr>
              <w:t>绵阳荣莱威格机电有限公司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0344-2022-Q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审核日期"/>
            <w:r>
              <w:rPr>
                <w:rFonts w:hint="eastAsia"/>
                <w:b/>
                <w:sz w:val="21"/>
                <w:szCs w:val="21"/>
              </w:rPr>
              <w:t>2022年04月12日 上午</w:t>
            </w:r>
            <w:bookmarkEnd w:id="12"/>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2022年04月12日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bookmarkStart w:id="13" w:name="_GoBack"/>
            <w:bookmarkEnd w:id="13"/>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CA56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2022-04-11T02:04:04Z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