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0067-2020-E-2022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西安洛科电子科技股份有限公司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4"/>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西安洛科电子科技股份有限公司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西安市高新区锦业路69号创业研发园A区15号</w:t>
            </w:r>
            <w:bookmarkEnd w:id="6"/>
          </w:p>
        </w:tc>
        <w:tc>
          <w:tcPr>
            <w:tcW w:w="1242" w:type="dxa"/>
            <w:vMerge w:val="restart"/>
            <w:vAlign w:val="center"/>
          </w:tcPr>
          <w:p>
            <w:r>
              <w:rPr>
                <w:rFonts w:hint="eastAsia"/>
              </w:rPr>
              <w:t>邮编</w:t>
            </w:r>
          </w:p>
        </w:tc>
        <w:tc>
          <w:tcPr>
            <w:tcW w:w="1771" w:type="dxa"/>
          </w:tcPr>
          <w:p>
            <w:bookmarkStart w:id="7" w:name="注册邮编"/>
            <w:r>
              <w:t>710054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西安市高新区锦业路69号创业研发园A区15号</w:t>
            </w:r>
            <w:bookmarkEnd w:id="8"/>
          </w:p>
        </w:tc>
        <w:tc>
          <w:tcPr>
            <w:tcW w:w="1242" w:type="dxa"/>
            <w:vMerge w:val="continue"/>
            <w:vAlign w:val="center"/>
          </w:tcPr>
          <w:p/>
        </w:tc>
        <w:tc>
          <w:tcPr>
            <w:tcW w:w="1771" w:type="dxa"/>
          </w:tcPr>
          <w:p>
            <w:bookmarkStart w:id="9" w:name="办公邮编"/>
            <w:r>
              <w:t>710054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李希孝</w:t>
            </w:r>
            <w:bookmarkEnd w:id="10"/>
          </w:p>
        </w:tc>
        <w:tc>
          <w:tcPr>
            <w:tcW w:w="1313" w:type="dxa"/>
            <w:vAlign w:val="center"/>
          </w:tcPr>
          <w:p>
            <w:r>
              <w:rPr>
                <w:rFonts w:hint="eastAsia"/>
              </w:rPr>
              <w:t>电话.</w:t>
            </w:r>
          </w:p>
        </w:tc>
        <w:tc>
          <w:tcPr>
            <w:tcW w:w="2180" w:type="dxa"/>
            <w:vAlign w:val="center"/>
          </w:tcPr>
          <w:p>
            <w:bookmarkStart w:id="11" w:name="联系人电话"/>
            <w:r>
              <w:t>13759985988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李希孝</w:t>
            </w:r>
            <w:bookmarkEnd w:id="13"/>
          </w:p>
        </w:tc>
        <w:tc>
          <w:tcPr>
            <w:tcW w:w="1313" w:type="dxa"/>
            <w:vAlign w:val="center"/>
          </w:tcPr>
          <w:p>
            <w:r>
              <w:rPr>
                <w:rFonts w:hint="eastAsia"/>
              </w:rPr>
              <w:t>管理者代表</w:t>
            </w:r>
          </w:p>
        </w:tc>
        <w:tc>
          <w:tcPr>
            <w:tcW w:w="2180" w:type="dxa"/>
          </w:tcPr>
          <w:p>
            <w:bookmarkStart w:id="14" w:name="管理者代表"/>
            <w:r>
              <w:t>兰孟平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1、石油仪器仪表、专用工具及配件的生产研发和销售服务流程：项目立项→研发→生产→机械装配→电路板焊接→电路板老化→总装→调试→检验→交付→售后→实施服务。</w:t>
            </w:r>
          </w:p>
          <w:p>
            <w:pPr>
              <w:snapToGrid w:val="0"/>
              <w:spacing w:line="360" w:lineRule="auto"/>
            </w:pPr>
            <w:r>
              <w:rPr>
                <w:rFonts w:hint="eastAsia" w:ascii="宋体" w:hAnsi="宋体" w:cs="宋体"/>
                <w:color w:val="auto"/>
                <w:szCs w:val="21"/>
                <w:lang w:val="en-US" w:eastAsia="zh-CN"/>
              </w:rPr>
              <w:t>2、信息系统集成、计算机应用软件开发流程：方案设计→硬件到货验收→软硬件安装部署→软硬件联调→试运行→交付。</w:t>
            </w:r>
          </w:p>
        </w:tc>
      </w:tr>
    </w:tbl>
    <w:p/>
    <w:p>
      <w:r>
        <w:rPr>
          <w:rFonts w:hint="eastAsia"/>
        </w:rPr>
        <w:t>二、本次审核信息</w:t>
      </w:r>
    </w:p>
    <w:tbl>
      <w:tblPr>
        <w:tblStyle w:val="14"/>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2022年04月16日 上午至2022年04月18日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rPr>
                <w:rFonts w:ascii="Times New Roman" w:hAnsi="Times New Roman" w:eastAsia="宋体" w:cs="Times New Roman"/>
              </w:rPr>
            </w:pPr>
            <w:r>
              <w:rPr>
                <w:rFonts w:hint="eastAsia" w:ascii="Times New Roman" w:hAnsi="Times New Roman" w:eastAsia="宋体" w:cs="Times New Roman"/>
              </w:rPr>
              <w:t>审核地址（含远程）</w:t>
            </w:r>
          </w:p>
        </w:tc>
        <w:tc>
          <w:tcPr>
            <w:tcW w:w="7831" w:type="dxa"/>
            <w:gridSpan w:val="3"/>
            <w:tcMar>
              <w:left w:w="113" w:type="dxa"/>
            </w:tcMar>
          </w:tcPr>
          <w:p>
            <w:pPr>
              <w:rPr>
                <w:rFonts w:ascii="Times New Roman" w:hAnsi="Times New Roman" w:eastAsia="宋体" w:cs="Times New Roman"/>
              </w:rPr>
            </w:pPr>
            <w:r>
              <w:rPr>
                <w:rFonts w:ascii="Times New Roman" w:hAnsi="Times New Roman" w:eastAsia="宋体" w:cs="Times New Roman"/>
              </w:rPr>
              <w:t>西安市高新区锦业路69号创业研发园A区15号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Times New Roman" w:hAnsi="Times New Roman" w:eastAsia="宋体" w:cs="Times New Roman"/>
              </w:rPr>
            </w:pPr>
            <w:r>
              <w:rPr>
                <w:rFonts w:hint="eastAsia" w:ascii="Times New Roman" w:hAnsi="Times New Roman" w:eastAsia="宋体" w:cs="Times New Roman"/>
              </w:rPr>
              <w:t>远程审核方式</w:t>
            </w:r>
          </w:p>
        </w:tc>
        <w:tc>
          <w:tcPr>
            <w:tcW w:w="7831" w:type="dxa"/>
            <w:gridSpan w:val="3"/>
            <w:tcMar>
              <w:left w:w="113" w:type="dxa"/>
            </w:tcMar>
            <w:vAlign w:val="bottom"/>
          </w:tcPr>
          <w:p>
            <w:pPr>
              <w:rPr>
                <w:rFonts w:ascii="Times New Roman" w:hAnsi="Times New Roman" w:eastAsia="宋体" w:cs="Times New Roman"/>
              </w:rPr>
            </w:pPr>
            <w:r>
              <w:rPr>
                <w:rFonts w:hint="eastAsia" w:ascii="Times New Roman" w:hAnsi="Times New Roman" w:eastAsia="宋体" w:cs="Times New Roman"/>
              </w:rPr>
              <w:t>□音频</w:t>
            </w:r>
            <w:r>
              <w:rPr>
                <w:rFonts w:hint="eastAsia" w:ascii="Times New Roman" w:hAnsi="Times New Roman" w:eastAsia="宋体" w:cs="Times New Roman"/>
                <w:lang w:eastAsia="zh-CN"/>
              </w:rPr>
              <w:t>☑</w:t>
            </w:r>
            <w:r>
              <w:rPr>
                <w:rFonts w:hint="eastAsia" w:ascii="Times New Roman" w:hAnsi="Times New Roman" w:eastAsia="宋体" w:cs="Times New Roman"/>
              </w:rPr>
              <w:t>视频□数据共享</w:t>
            </w:r>
            <w:r>
              <w:rPr>
                <w:rFonts w:hint="eastAsia" w:ascii="Times New Roman" w:hAnsi="Times New Roman" w:eastAsia="宋体" w:cs="Times New Roman"/>
                <w:lang w:eastAsia="zh-CN"/>
              </w:rPr>
              <w:t>□</w:t>
            </w:r>
            <w:r>
              <w:rPr>
                <w:rFonts w:hint="eastAsia" w:ascii="Times New Roman" w:hAnsi="Times New Roman" w:eastAsia="宋体" w:cs="Times New Roman"/>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Times New Roman" w:hAnsi="Times New Roman" w:eastAsia="宋体" w:cs="Times New Roman"/>
              </w:rPr>
            </w:pPr>
            <w:r>
              <w:rPr>
                <w:rFonts w:hint="eastAsia" w:ascii="Times New Roman" w:hAnsi="Times New Roman" w:eastAsia="宋体" w:cs="Times New Roman"/>
              </w:rPr>
              <w:t>信息安全的控制</w:t>
            </w:r>
          </w:p>
        </w:tc>
        <w:tc>
          <w:tcPr>
            <w:tcW w:w="7831" w:type="dxa"/>
            <w:gridSpan w:val="3"/>
            <w:tcMar>
              <w:left w:w="113" w:type="dxa"/>
            </w:tcMar>
            <w:vAlign w:val="bottom"/>
          </w:tcPr>
          <w:p>
            <w:pPr>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Times New Roman" w:hAnsi="Times New Roman" w:eastAsia="宋体" w:cs="Times New Roman"/>
              </w:rPr>
            </w:pPr>
            <w:r>
              <w:rPr>
                <w:rFonts w:hint="eastAsia" w:ascii="Times New Roman" w:hAnsi="Times New Roman" w:eastAsia="宋体" w:cs="Times New Roman"/>
              </w:rPr>
              <w:t>远程审核资源</w:t>
            </w:r>
          </w:p>
        </w:tc>
        <w:tc>
          <w:tcPr>
            <w:tcW w:w="7831" w:type="dxa"/>
            <w:gridSpan w:val="3"/>
            <w:tcMar>
              <w:left w:w="113" w:type="dxa"/>
            </w:tcMar>
            <w:vAlign w:val="bottom"/>
          </w:tcPr>
          <w:p>
            <w:pPr>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网络</w:t>
            </w:r>
            <w:r>
              <w:rPr>
                <w:rFonts w:hint="eastAsia" w:ascii="Times New Roman" w:hAnsi="Times New Roman" w:eastAsia="宋体" w:cs="Times New Roman"/>
                <w:lang w:eastAsia="zh-CN"/>
              </w:rPr>
              <w:t>☑</w:t>
            </w:r>
            <w:r>
              <w:rPr>
                <w:rFonts w:hint="eastAsia" w:ascii="Times New Roman" w:hAnsi="Times New Roman" w:eastAsia="宋体" w:cs="Times New Roman"/>
              </w:rPr>
              <w:t>智能手机□手持设备</w:t>
            </w:r>
            <w:r>
              <w:rPr>
                <w:rFonts w:hint="eastAsia" w:ascii="Times New Roman" w:hAnsi="Times New Roman" w:eastAsia="宋体" w:cs="Times New Roman"/>
                <w:lang w:eastAsia="zh-CN"/>
              </w:rPr>
              <w:t>☑</w:t>
            </w:r>
            <w:r>
              <w:rPr>
                <w:rFonts w:hint="eastAsia" w:ascii="Times New Roman" w:hAnsi="Times New Roman" w:eastAsia="宋体" w:cs="Times New Roman"/>
              </w:rPr>
              <w:t>笔记本电脑□台式电脑□无人机□摄像机□可穿戴技术□人工智能□其他</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E：石油仪器仪表、石油专用工具及配件的设计、组装、销售和技术服务（许可范围内）；计算机软件开发；信息系统集成所涉及场所的相关环境管理活动</w:t>
            </w:r>
          </w:p>
          <w:p>
            <w:r>
              <w:t>Q：石油仪器仪表、石油专用工具及配件的设计、生产、销售和技术服务（许可范围内）；计算机软件开发；信息系统集成。</w:t>
            </w:r>
          </w:p>
          <w:p>
            <w:r>
              <w:t>O：石油仪器仪表、石油专用工具及配件的设计、生产、销售和技术服务（许可范围内）；计算机软件开发；信息系统集成所涉及场所的相关职业健康安全管理活动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E：18.05.02;19.05.01;33.02.01;33.02.02;34.06.00</w:t>
            </w:r>
          </w:p>
          <w:p>
            <w:r>
              <w:t>Q：18.05.02;19.05.01;33.02.01;33.02.02;34.06.00</w:t>
            </w:r>
          </w:p>
          <w:p>
            <w:r>
              <w:t>O：18.05.02;19.05.01;33.02.01;33.02.02;34.06.00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2020年9月1日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w:t>
            </w:r>
            <w:r>
              <w:rPr>
                <w:rFonts w:hint="eastAsia"/>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2021年04月01日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p>
        </w:tc>
      </w:tr>
    </w:tbl>
    <w:p/>
    <w:p>
      <w:pPr>
        <w:rPr>
          <w:lang w:eastAsia="ja-JP"/>
        </w:rPr>
      </w:pPr>
      <w:r>
        <w:rPr>
          <w:rFonts w:hint="eastAsia"/>
        </w:rPr>
        <w:t>本次审核</w:t>
      </w:r>
      <w:r>
        <w:t>覆盖以下各场所/场地及其对应的范围:</w:t>
      </w:r>
    </w:p>
    <w:tbl>
      <w:tblPr>
        <w:tblStyle w:val="14"/>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53"/>
        <w:gridCol w:w="2186"/>
        <w:gridCol w:w="467"/>
        <w:gridCol w:w="2720"/>
        <w:gridCol w:w="125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53" w:type="dxa"/>
            <w:shd w:val="clear" w:color="auto" w:fill="F3F3F3"/>
            <w:tcMar>
              <w:left w:w="57" w:type="dxa"/>
              <w:right w:w="57" w:type="dxa"/>
            </w:tcMar>
          </w:tcPr>
          <w:p>
            <w:r>
              <w:rPr>
                <w:rFonts w:hint="eastAsia"/>
              </w:rPr>
              <w:t>组织名称及注册场所地址</w:t>
            </w:r>
          </w:p>
        </w:tc>
        <w:tc>
          <w:tcPr>
            <w:tcW w:w="2186" w:type="dxa"/>
            <w:shd w:val="clear" w:color="auto" w:fill="F3F3F3"/>
            <w:tcMar>
              <w:left w:w="57" w:type="dxa"/>
              <w:right w:w="57" w:type="dxa"/>
            </w:tcMar>
          </w:tcPr>
          <w:p>
            <w:r>
              <w:rPr>
                <w:rFonts w:hint="eastAsia"/>
              </w:rPr>
              <w:t>经营场所的地址</w:t>
            </w:r>
          </w:p>
          <w:p>
            <w:r>
              <w:rPr>
                <w:rFonts w:hint="eastAsia"/>
              </w:rPr>
              <w:t>（多现场和临时现场）</w:t>
            </w:r>
          </w:p>
        </w:tc>
        <w:tc>
          <w:tcPr>
            <w:tcW w:w="467" w:type="dxa"/>
            <w:shd w:val="clear" w:color="auto" w:fill="F3F3F3"/>
            <w:tcMar>
              <w:left w:w="57" w:type="dxa"/>
              <w:right w:w="57" w:type="dxa"/>
            </w:tcMar>
          </w:tcPr>
          <w:p>
            <w:r>
              <w:rPr>
                <w:rFonts w:hint="eastAsia"/>
              </w:rPr>
              <w:t>员工人数</w:t>
            </w:r>
          </w:p>
        </w:tc>
        <w:tc>
          <w:tcPr>
            <w:tcW w:w="2720" w:type="dxa"/>
            <w:shd w:val="clear" w:color="auto" w:fill="F3F3F3"/>
            <w:tcMar>
              <w:left w:w="57" w:type="dxa"/>
              <w:right w:w="57" w:type="dxa"/>
            </w:tcMar>
          </w:tcPr>
          <w:p>
            <w:r>
              <w:rPr>
                <w:rFonts w:hint="eastAsia"/>
              </w:rPr>
              <w:t>审核范围（产品和过程）</w:t>
            </w:r>
          </w:p>
          <w:p/>
          <w:p/>
        </w:tc>
        <w:tc>
          <w:tcPr>
            <w:tcW w:w="1253" w:type="dxa"/>
            <w:shd w:val="clear" w:color="auto" w:fill="F3F3F3"/>
            <w:tcMar>
              <w:left w:w="57" w:type="dxa"/>
              <w:right w:w="57" w:type="dxa"/>
            </w:tcMar>
          </w:tcPr>
          <w:p>
            <w:r>
              <w:rPr>
                <w:rFonts w:hint="eastAsia"/>
              </w:rPr>
              <w:t>标准</w:t>
            </w:r>
          </w:p>
        </w:tc>
        <w:tc>
          <w:tcPr>
            <w:tcW w:w="1366"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253" w:type="dxa"/>
          </w:tcPr>
          <w:p>
            <w:pPr>
              <w:rPr>
                <w:sz w:val="21"/>
                <w:szCs w:val="21"/>
              </w:rPr>
            </w:pPr>
            <w:r>
              <w:rPr>
                <w:sz w:val="21"/>
                <w:szCs w:val="21"/>
              </w:rPr>
              <w:t>西安洛科电子科技股份有限公司</w:t>
            </w:r>
          </w:p>
          <w:p>
            <w:pPr>
              <w:rPr>
                <w:lang w:val="de-DE" w:eastAsia="ja-JP"/>
              </w:rPr>
            </w:pPr>
            <w:r>
              <w:rPr>
                <w:rFonts w:hint="eastAsia"/>
                <w:sz w:val="21"/>
                <w:szCs w:val="21"/>
              </w:rPr>
              <w:t>西安市高新区锦业路69号创业研发园A区15号</w:t>
            </w:r>
          </w:p>
        </w:tc>
        <w:tc>
          <w:tcPr>
            <w:tcW w:w="2186" w:type="dxa"/>
          </w:tcPr>
          <w:p>
            <w:pPr>
              <w:rPr>
                <w:lang w:val="de-DE" w:eastAsia="ja-JP"/>
              </w:rPr>
            </w:pPr>
          </w:p>
        </w:tc>
        <w:tc>
          <w:tcPr>
            <w:tcW w:w="467" w:type="dxa"/>
            <w:vAlign w:val="center"/>
          </w:tcPr>
          <w:p>
            <w:pPr>
              <w:rPr>
                <w:rFonts w:hint="default" w:eastAsia="宋体"/>
                <w:lang w:val="en-US" w:eastAsia="zh-CN"/>
              </w:rPr>
            </w:pPr>
            <w:r>
              <w:rPr>
                <w:rFonts w:hint="eastAsia"/>
                <w:lang w:val="en-US" w:eastAsia="zh-CN"/>
              </w:rPr>
              <w:t>65</w:t>
            </w:r>
          </w:p>
        </w:tc>
        <w:tc>
          <w:tcPr>
            <w:tcW w:w="2720" w:type="dxa"/>
            <w:vAlign w:val="center"/>
          </w:tcPr>
          <w:p>
            <w:pPr>
              <w:rPr>
                <w:sz w:val="20"/>
              </w:rPr>
            </w:pPr>
            <w:r>
              <w:rPr>
                <w:sz w:val="20"/>
              </w:rPr>
              <w:t>E：石油仪器仪表、石油专用工具及配件的设计、组装、销售和技术服务（许可范围内）；计算机软件开发；信息系统集成所涉及场所的相关环境管理活动</w:t>
            </w:r>
          </w:p>
          <w:p>
            <w:pPr>
              <w:rPr>
                <w:sz w:val="20"/>
              </w:rPr>
            </w:pPr>
            <w:r>
              <w:rPr>
                <w:sz w:val="20"/>
              </w:rPr>
              <w:t>Q：石油仪器仪表、石油专用工具及配件的设计、生产、销售和技术服务（许可范围内）；计算机软件开发；信息系统集成。</w:t>
            </w:r>
          </w:p>
          <w:p>
            <w:pPr>
              <w:rPr>
                <w:lang w:eastAsia="ja-JP"/>
              </w:rPr>
            </w:pPr>
            <w:r>
              <w:rPr>
                <w:sz w:val="20"/>
              </w:rPr>
              <w:t>O：石油仪器仪表、石油专用工具及配件的设计、生产、销售和技术服务（许可范围内）；计算机软件开发；信息系统集成所涉及场所的相关职业健康安全管理活动</w:t>
            </w:r>
          </w:p>
        </w:tc>
        <w:tc>
          <w:tcPr>
            <w:tcW w:w="1253" w:type="dxa"/>
            <w:vAlign w:val="center"/>
          </w:tcPr>
          <w:p>
            <w:pPr>
              <w:jc w:val="left"/>
              <w:rPr>
                <w:rFonts w:hint="eastAsia" w:ascii="宋体" w:hAnsi="宋体"/>
                <w:b/>
                <w:sz w:val="21"/>
                <w:szCs w:val="21"/>
              </w:rPr>
            </w:pPr>
            <w:r>
              <w:rPr>
                <w:rFonts w:hint="eastAsia" w:ascii="宋体" w:hAnsi="宋体"/>
                <w:b/>
                <w:sz w:val="21"/>
                <w:szCs w:val="21"/>
              </w:rPr>
              <w:t xml:space="preserve">GB/T19001-2016   </w:t>
            </w:r>
          </w:p>
          <w:p>
            <w:pPr>
              <w:jc w:val="left"/>
              <w:rPr>
                <w:rFonts w:ascii="宋体" w:hAnsi="宋体"/>
                <w:b/>
                <w:sz w:val="21"/>
                <w:szCs w:val="21"/>
              </w:rPr>
            </w:pPr>
            <w:r>
              <w:rPr>
                <w:rFonts w:hint="eastAsia" w:ascii="宋体" w:hAnsi="宋体"/>
                <w:b/>
                <w:sz w:val="21"/>
                <w:szCs w:val="21"/>
              </w:rPr>
              <w:t>GB/T24001-2016</w:t>
            </w:r>
          </w:p>
          <w:p>
            <w:pPr>
              <w:spacing w:line="240" w:lineRule="exact"/>
              <w:jc w:val="left"/>
              <w:rPr>
                <w:rFonts w:ascii="宋体" w:hAnsi="宋体"/>
                <w:b/>
                <w:sz w:val="21"/>
                <w:szCs w:val="21"/>
                <w:u w:val="single"/>
              </w:rPr>
            </w:pPr>
            <w:r>
              <w:rPr>
                <w:rFonts w:hint="eastAsia" w:ascii="宋体" w:hAnsi="宋体"/>
                <w:b/>
                <w:sz w:val="21"/>
                <w:szCs w:val="21"/>
              </w:rPr>
              <w:t>GB/T45001-2020</w:t>
            </w:r>
          </w:p>
          <w:p>
            <w:pPr>
              <w:rPr>
                <w:lang w:eastAsia="ja-JP"/>
              </w:rPr>
            </w:pPr>
          </w:p>
        </w:tc>
        <w:tc>
          <w:tcPr>
            <w:tcW w:w="1366"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253" w:type="dxa"/>
            <w:vAlign w:val="center"/>
          </w:tcPr>
          <w:p>
            <w:pPr>
              <w:rPr>
                <w:lang w:eastAsia="ja-JP"/>
              </w:rPr>
            </w:pPr>
          </w:p>
        </w:tc>
        <w:tc>
          <w:tcPr>
            <w:tcW w:w="2186" w:type="dxa"/>
            <w:vAlign w:val="center"/>
          </w:tcPr>
          <w:p>
            <w:pPr>
              <w:rPr>
                <w:lang w:eastAsia="ja-JP"/>
              </w:rPr>
            </w:pPr>
          </w:p>
        </w:tc>
        <w:tc>
          <w:tcPr>
            <w:tcW w:w="467" w:type="dxa"/>
            <w:vAlign w:val="center"/>
          </w:tcPr>
          <w:p>
            <w:pPr>
              <w:rPr>
                <w:lang w:eastAsia="ja-JP"/>
              </w:rPr>
            </w:pPr>
          </w:p>
        </w:tc>
        <w:tc>
          <w:tcPr>
            <w:tcW w:w="2720" w:type="dxa"/>
            <w:vAlign w:val="center"/>
          </w:tcPr>
          <w:p>
            <w:pPr>
              <w:rPr>
                <w:lang w:eastAsia="ja-JP"/>
              </w:rPr>
            </w:pPr>
          </w:p>
        </w:tc>
        <w:tc>
          <w:tcPr>
            <w:tcW w:w="1253" w:type="dxa"/>
            <w:vAlign w:val="center"/>
          </w:tcPr>
          <w:p>
            <w:pPr>
              <w:rPr>
                <w:lang w:eastAsia="ja-JP"/>
              </w:rPr>
            </w:pPr>
          </w:p>
        </w:tc>
        <w:tc>
          <w:tcPr>
            <w:tcW w:w="1366" w:type="dxa"/>
            <w:shd w:val="clear" w:color="auto" w:fill="FFFFFF"/>
          </w:tcPr>
          <w:p>
            <w:r>
              <w:rPr>
                <w:rFonts w:hint="eastAsia"/>
              </w:rPr>
              <w:t>☐</w:t>
            </w:r>
          </w:p>
        </w:tc>
      </w:tr>
    </w:tbl>
    <w:p/>
    <w:p>
      <w:r>
        <w:rPr>
          <w:rFonts w:hint="eastAsia"/>
        </w:rPr>
        <w:t>三、任何影响审核方案的重要事项：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8"/>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4"/>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2021-N1QMS-2222792</w:t>
            </w:r>
          </w:p>
          <w:p>
            <w:r>
              <w:t>2021-N1OHSMS-2222792</w:t>
            </w:r>
          </w:p>
        </w:tc>
        <w:tc>
          <w:tcPr>
            <w:tcW w:w="2179" w:type="dxa"/>
            <w:vAlign w:val="center"/>
          </w:tcPr>
          <w:p>
            <w:r>
              <w:t>E:18.05.02,19.05.01,33.02.01,33.02.02,34.06.00</w:t>
            </w:r>
          </w:p>
          <w:p>
            <w:r>
              <w:t>Q:18.05.02,19.05.01,33.02.01,33.02.02,34.06.00</w:t>
            </w:r>
          </w:p>
          <w:p>
            <w:r>
              <w:t>O:18.05.02,19.05.01,33.02.01,33.02.02,34.06.00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251"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lang w:val="en-US" w:eastAsia="zh-CN"/>
              </w:rPr>
            </w:pPr>
            <w:r>
              <w:rPr>
                <w:rFonts w:hint="eastAsia"/>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5"/>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5"/>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4"/>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4"/>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298450</wp:posOffset>
                  </wp:positionH>
                  <wp:positionV relativeFrom="paragraph">
                    <wp:posOffset>24765</wp:posOffset>
                  </wp:positionV>
                  <wp:extent cx="423545" cy="325755"/>
                  <wp:effectExtent l="0" t="0" r="8255" b="444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23545" cy="3257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lang w:val="en-GB"/>
              </w:rPr>
            </w:pPr>
            <w:r>
              <w:rPr>
                <w:rFonts w:hint="eastAsia"/>
                <w:lang w:val="en-GB"/>
              </w:rPr>
              <w:t>质量精益求精，服务及时周到；实现污染预防，注重节能降耗；及时消除隐患，保障健康安全；遵守法律法规，坚持持续改进。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宋体" w:hAnsi="宋体"/>
                <w:b w:val="0"/>
                <w:bCs w:val="0"/>
                <w:color w:val="auto"/>
                <w:sz w:val="21"/>
                <w:szCs w:val="21"/>
                <w:lang w:val="en-US" w:eastAsia="zh-CN"/>
              </w:rPr>
              <w:t>综合管理部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1.对市场需要产品的发展趋势判断失误。</w:t>
                  </w:r>
                </w:p>
                <w:p>
                  <w:pPr>
                    <w:shd w:val="clear" w:color="auto" w:fill="C7DAF1" w:themeFill="text2" w:themeFillTint="32"/>
                  </w:pPr>
                  <w:r>
                    <w:rPr>
                      <w:rFonts w:hint="eastAsia"/>
                    </w:rPr>
                    <w:t>2.客户要求识别不完整。</w:t>
                  </w:r>
                </w:p>
                <w:p>
                  <w:pPr>
                    <w:shd w:val="clear" w:color="auto" w:fill="C7DAF1" w:themeFill="text2" w:themeFillTint="32"/>
                  </w:pPr>
                  <w:r>
                    <w:rPr>
                      <w:rFonts w:hint="eastAsia"/>
                    </w:rPr>
                    <w:t>3.未能确保能够满足客户要求就签署合同</w:t>
                  </w:r>
                </w:p>
              </w:tc>
              <w:tc>
                <w:tcPr>
                  <w:tcW w:w="3965" w:type="dxa"/>
                  <w:vAlign w:val="top"/>
                </w:tcPr>
                <w:p>
                  <w:pPr>
                    <w:shd w:val="clear" w:color="auto" w:fill="C7DAF1" w:themeFill="text2" w:themeFillTint="32"/>
                  </w:pPr>
                  <w:r>
                    <w:rPr>
                      <w:rFonts w:hint="eastAsia"/>
                    </w:rPr>
                    <w:t>1.对市场需求产品的发展趋势分析应该经过反复论证。</w:t>
                  </w:r>
                </w:p>
                <w:p>
                  <w:pPr>
                    <w:shd w:val="clear" w:color="auto" w:fill="C7DAF1" w:themeFill="text2" w:themeFillTint="32"/>
                  </w:pPr>
                  <w:r>
                    <w:rPr>
                      <w:rFonts w:hint="eastAsia"/>
                    </w:rPr>
                    <w:t>2.对客户的要求实施监视和测量。</w:t>
                  </w:r>
                </w:p>
                <w:p>
                  <w:pPr>
                    <w:shd w:val="clear" w:color="auto" w:fill="C7DAF1" w:themeFill="text2" w:themeFillTint="32"/>
                  </w:pPr>
                  <w:r>
                    <w:rPr>
                      <w:rFonts w:hint="eastAsia"/>
                    </w:rPr>
                    <w:t>3.在确定与客户签署合同前 落实合同评审事宜。</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rPr>
                    <w:t>1.不能按时交付。</w:t>
                  </w:r>
                </w:p>
                <w:p>
                  <w:pPr>
                    <w:shd w:val="clear" w:color="auto" w:fill="C7DAF1" w:themeFill="text2" w:themeFillTint="32"/>
                  </w:pPr>
                  <w:r>
                    <w:rPr>
                      <w:rFonts w:hint="eastAsia"/>
                    </w:rPr>
                    <w:t>2.交付的产品不符合客户的要求。</w:t>
                  </w:r>
                </w:p>
              </w:tc>
              <w:tc>
                <w:tcPr>
                  <w:tcW w:w="3965" w:type="dxa"/>
                  <w:vAlign w:val="top"/>
                </w:tcPr>
                <w:p>
                  <w:pPr>
                    <w:shd w:val="clear" w:color="auto" w:fill="C7DAF1" w:themeFill="text2" w:themeFillTint="32"/>
                  </w:pPr>
                  <w:r>
                    <w:rPr>
                      <w:rFonts w:hint="eastAsia"/>
                    </w:rPr>
                    <w:t>1.生产销售计划管制。</w:t>
                  </w:r>
                </w:p>
                <w:p>
                  <w:pPr>
                    <w:shd w:val="clear" w:color="auto" w:fill="C7DAF1" w:themeFill="text2" w:themeFillTint="32"/>
                  </w:pPr>
                  <w:r>
                    <w:rPr>
                      <w:rFonts w:hint="eastAsia"/>
                    </w:rPr>
                    <w:t xml:space="preserve"> 2.生产销售过程的品质控制。</w:t>
                  </w:r>
                </w:p>
                <w:p>
                  <w:pPr>
                    <w:shd w:val="clear" w:color="auto" w:fill="C7DAF1" w:themeFill="text2" w:themeFillTint="32"/>
                  </w:pPr>
                  <w:r>
                    <w:rPr>
                      <w:rFonts w:hint="eastAsia"/>
                    </w:rPr>
                    <w:t>3.成品的品质检验。</w:t>
                  </w:r>
                </w:p>
              </w:tc>
              <w:tc>
                <w:tcPr>
                  <w:tcW w:w="1717" w:type="dxa"/>
                  <w:vAlign w:val="top"/>
                </w:tcPr>
                <w:p>
                  <w:pPr>
                    <w:shd w:val="clear" w:color="auto" w:fill="C7DAF1" w:themeFill="text2"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279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79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tcPr>
                <w:p>
                  <w:pPr>
                    <w:spacing w:line="360" w:lineRule="exact"/>
                  </w:pPr>
                  <w:r>
                    <w:rPr>
                      <w:rFonts w:hint="eastAsia" w:hAnsi="宋体"/>
                    </w:rPr>
                    <w:t>成品一次检验合格率99%</w:t>
                  </w:r>
                </w:p>
              </w:tc>
              <w:tc>
                <w:tcPr>
                  <w:tcW w:w="2793"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完成数/成品检验批×100%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生产技术</w:t>
                  </w:r>
                  <w:r>
                    <w:rPr>
                      <w:rFonts w:hint="eastAsia"/>
                    </w:rPr>
                    <w:t>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rPr>
                    <w:t>9</w:t>
                  </w: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tcPr>
                <w:p>
                  <w:pPr>
                    <w:shd w:val="clear" w:color="auto" w:fill="C7DAF1" w:themeFill="text2" w:themeFillTint="32"/>
                  </w:pPr>
                  <w:r>
                    <w:rPr>
                      <w:rFonts w:hint="eastAsia" w:hAnsi="宋体"/>
                    </w:rPr>
                    <w:t>顾客满意度9</w:t>
                  </w:r>
                  <w:r>
                    <w:rPr>
                      <w:rFonts w:hAnsi="宋体"/>
                    </w:rPr>
                    <w:t>5</w:t>
                  </w:r>
                  <w:r>
                    <w:rPr>
                      <w:rFonts w:hint="eastAsia" w:hAnsi="宋体"/>
                    </w:rPr>
                    <w:t>分以上</w:t>
                  </w:r>
                </w:p>
              </w:tc>
              <w:tc>
                <w:tcPr>
                  <w:tcW w:w="2793" w:type="dxa"/>
                  <w:shd w:val="clear" w:color="auto" w:fill="auto"/>
                  <w:vAlign w:val="center"/>
                </w:tcPr>
                <w:p>
                  <w:pPr>
                    <w:shd w:val="clear" w:color="auto" w:fill="C7DAF1" w:themeFill="text2" w:themeFillTint="32"/>
                    <w:rPr>
                      <w:rFonts w:ascii="宋体" w:hAnsi="宋体"/>
                    </w:rPr>
                  </w:pPr>
                  <w:r>
                    <w:rPr>
                      <w:rFonts w:hint="eastAsia"/>
                      <w:lang w:val="en-US" w:eastAsia="zh-CN"/>
                    </w:rPr>
                    <w:t>满意数/调查项目数×100%</w:t>
                  </w:r>
                </w:p>
              </w:tc>
              <w:tc>
                <w:tcPr>
                  <w:tcW w:w="1350" w:type="dxa"/>
                  <w:shd w:val="clear" w:color="auto" w:fill="auto"/>
                  <w:vAlign w:val="center"/>
                </w:tcPr>
                <w:p>
                  <w:pPr>
                    <w:shd w:val="clear" w:color="auto" w:fill="C7DAF1" w:themeFill="text2" w:themeFillTint="32"/>
                    <w:rPr>
                      <w:rFonts w:ascii="宋体" w:hAnsi="宋体"/>
                    </w:rPr>
                  </w:pPr>
                  <w:r>
                    <w:rPr>
                      <w:rFonts w:hint="eastAsia"/>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vAlign w:val="center"/>
                </w:tcPr>
                <w:p>
                  <w:pPr>
                    <w:spacing w:line="360" w:lineRule="auto"/>
                    <w:jc w:val="left"/>
                  </w:pPr>
                  <w:r>
                    <w:rPr>
                      <w:rFonts w:hint="eastAsia" w:ascii="Times New Roman" w:hAnsi="Times New Roman" w:eastAsia="宋体" w:cs="Times New Roman"/>
                      <w:szCs w:val="22"/>
                    </w:rPr>
                    <w:t>研发合格率99%</w:t>
                  </w:r>
                  <w:r>
                    <w:rPr>
                      <w:rFonts w:hint="eastAsia" w:ascii="Times New Roman" w:hAnsi="Times New Roman" w:eastAsia="宋体" w:cs="Times New Roman"/>
                      <w:szCs w:val="22"/>
                      <w:lang w:val="en-US" w:eastAsia="zh-CN"/>
                    </w:rPr>
                    <w:t xml:space="preserve">        </w:t>
                  </w:r>
                </w:p>
              </w:tc>
              <w:tc>
                <w:tcPr>
                  <w:tcW w:w="2793" w:type="dxa"/>
                  <w:shd w:val="clear" w:color="auto" w:fill="auto"/>
                  <w:vAlign w:val="center"/>
                </w:tcPr>
                <w:p>
                  <w:pPr>
                    <w:spacing w:line="360" w:lineRule="auto"/>
                    <w:jc w:val="both"/>
                    <w:rPr>
                      <w:rFonts w:ascii="宋体" w:hAnsi="宋体"/>
                    </w:rPr>
                  </w:pPr>
                  <w:r>
                    <w:rPr>
                      <w:rFonts w:hint="eastAsia"/>
                      <w:lang w:val="en-US" w:eastAsia="zh-CN"/>
                    </w:rPr>
                    <w:t>合格研发数/项目数×100%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生产技术</w:t>
                  </w:r>
                  <w:r>
                    <w:rPr>
                      <w:rFonts w:hint="eastAsia"/>
                    </w:rPr>
                    <w:t>部</w:t>
                  </w:r>
                </w:p>
              </w:tc>
              <w:tc>
                <w:tcPr>
                  <w:tcW w:w="1774" w:type="dxa"/>
                  <w:shd w:val="clear" w:color="auto" w:fill="auto"/>
                  <w:vAlign w:val="center"/>
                </w:tcPr>
                <w:p>
                  <w:pPr>
                    <w:spacing w:line="360" w:lineRule="auto"/>
                    <w:ind w:firstLine="420" w:firstLineChars="200"/>
                    <w:jc w:val="both"/>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vAlign w:val="center"/>
                </w:tcPr>
                <w:p>
                  <w:pPr>
                    <w:spacing w:line="360" w:lineRule="auto"/>
                    <w:jc w:val="left"/>
                  </w:pPr>
                  <w:r>
                    <w:rPr>
                      <w:rFonts w:hint="eastAsia" w:ascii="Times New Roman" w:hAnsi="Times New Roman" w:eastAsia="宋体" w:cs="Times New Roman"/>
                      <w:szCs w:val="22"/>
                    </w:rPr>
                    <w:t>项目服务合格率100%</w:t>
                  </w:r>
                  <w:r>
                    <w:rPr>
                      <w:rFonts w:hint="eastAsia" w:ascii="Times New Roman" w:hAnsi="Times New Roman" w:eastAsia="宋体" w:cs="Times New Roman"/>
                      <w:szCs w:val="22"/>
                      <w:lang w:val="en-US" w:eastAsia="zh-CN"/>
                    </w:rPr>
                    <w:t xml:space="preserve">     </w:t>
                  </w:r>
                </w:p>
              </w:tc>
              <w:tc>
                <w:tcPr>
                  <w:tcW w:w="2793" w:type="dxa"/>
                  <w:shd w:val="clear" w:color="auto" w:fill="auto"/>
                  <w:vAlign w:val="center"/>
                </w:tcPr>
                <w:p>
                  <w:pPr>
                    <w:spacing w:line="360" w:lineRule="auto"/>
                    <w:jc w:val="center"/>
                    <w:rPr>
                      <w:rFonts w:ascii="宋体" w:hAnsi="宋体"/>
                    </w:rPr>
                  </w:pPr>
                  <w:r>
                    <w:rPr>
                      <w:rFonts w:hint="eastAsia"/>
                      <w:lang w:val="en-US" w:eastAsia="zh-CN"/>
                    </w:rPr>
                    <w:t>合格服务数/项目数×100%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生产技术</w:t>
                  </w:r>
                  <w:r>
                    <w:rPr>
                      <w:rFonts w:hint="eastAsia"/>
                    </w:rPr>
                    <w:t>部</w:t>
                  </w:r>
                </w:p>
              </w:tc>
              <w:tc>
                <w:tcPr>
                  <w:tcW w:w="1774" w:type="dxa"/>
                  <w:shd w:val="clear" w:color="auto" w:fill="auto"/>
                  <w:vAlign w:val="center"/>
                </w:tcPr>
                <w:p>
                  <w:pPr>
                    <w:spacing w:line="360" w:lineRule="auto"/>
                    <w:ind w:firstLine="420" w:firstLineChars="200"/>
                    <w:jc w:val="both"/>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shd w:val="clear" w:color="auto" w:fill="auto"/>
                </w:tcPr>
                <w:p>
                  <w:pPr>
                    <w:shd w:val="clear" w:color="auto" w:fill="C7DAF1" w:themeFill="text2" w:themeFillTint="32"/>
                  </w:pPr>
                </w:p>
              </w:tc>
              <w:tc>
                <w:tcPr>
                  <w:tcW w:w="2793"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建筑面积1284平方米；生产车间</w:t>
            </w:r>
            <w:r>
              <w:rPr>
                <w:rFonts w:hint="eastAsia"/>
                <w:lang w:val="en-US" w:eastAsia="zh-CN"/>
              </w:rPr>
              <w:t>1</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auto"/>
                <w:sz w:val="21"/>
                <w:szCs w:val="21"/>
                <w:u w:val="single"/>
                <w:lang w:val="en-US" w:eastAsia="zh-CN"/>
              </w:rPr>
              <w:t>水平振荡器、5速台钻、控制器、稳压电源</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auto"/>
                <w:sz w:val="21"/>
                <w:szCs w:val="21"/>
                <w:u w:val="single"/>
                <w:lang w:val="en-US" w:eastAsia="zh-CN"/>
              </w:rPr>
              <w:t>螺纹环规、压力砝码计、活塞式压力计、游标卡尺、示波器</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pStyle w:val="2"/>
            </w:pPr>
            <w:r>
              <w:rPr>
                <w:rFonts w:hint="eastAsia"/>
              </w:rPr>
              <w:t>提供《PCT100C偏心测调短节》产品图纸没有受控标识。</w:t>
            </w:r>
            <w:r>
              <w:rPr>
                <w:rFonts w:hint="eastAsia"/>
                <w:lang w:eastAsia="zh-CN"/>
              </w:rPr>
              <w:t>（</w:t>
            </w:r>
            <w:r>
              <w:rPr>
                <w:rFonts w:hint="eastAsia"/>
                <w:lang w:val="en-US" w:eastAsia="zh-CN"/>
              </w:rPr>
              <w:t>已开具不符合</w:t>
            </w:r>
            <w:r>
              <w:rPr>
                <w:rFonts w:hint="eastAsia"/>
                <w:lang w:eastAsia="zh-CN"/>
              </w:rPr>
              <w:t>）</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宋体" w:hAnsi="宋体" w:eastAsia="宋体" w:cs="Times New Roman"/>
                <w:color w:val="auto"/>
                <w:sz w:val="21"/>
                <w:szCs w:val="21"/>
                <w:u w:val="single"/>
                <w:shd w:val="clear" w:color="auto" w:fill="auto"/>
                <w:lang w:val="en-US" w:eastAsia="zh-CN"/>
              </w:rPr>
              <w:t>DQY100C-I电子取样器</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szCs w:val="21"/>
                <w:u w:val="none"/>
              </w:rPr>
              <w:t>202</w:t>
            </w:r>
            <w:r>
              <w:rPr>
                <w:rFonts w:hint="eastAsia"/>
                <w:szCs w:val="21"/>
                <w:u w:val="none"/>
                <w:lang w:val="en-US" w:eastAsia="zh-CN"/>
              </w:rPr>
              <w:t>2</w:t>
            </w:r>
            <w:r>
              <w:rPr>
                <w:rFonts w:hint="eastAsia"/>
              </w:rPr>
              <w:t>年</w:t>
            </w:r>
            <w:r>
              <w:rPr>
                <w:rFonts w:hint="eastAsia"/>
                <w:lang w:val="en-US" w:eastAsia="zh-CN"/>
              </w:rPr>
              <w:t>3</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w:t>
                  </w:r>
                  <w:r>
                    <w:rPr>
                      <w:rFonts w:hint="eastAsia"/>
                      <w:lang w:eastAsia="zh-CN"/>
                    </w:rPr>
                    <w:t>☑</w:t>
                  </w:r>
                  <w:r>
                    <w:rPr>
                      <w:rFonts w:hint="eastAsia"/>
                    </w:rPr>
                    <w:t>经济环境</w:t>
                  </w:r>
                </w:p>
                <w:p>
                  <w:pPr>
                    <w:shd w:val="clear" w:color="auto" w:fill="EBF1DE" w:themeFill="accent3" w:themeFillTint="32"/>
                  </w:pPr>
                  <w:r>
                    <w:rPr>
                      <w:rFonts w:hint="eastAsia"/>
                    </w:rPr>
                    <w:t>□政治</w:t>
                  </w:r>
                  <w:r>
                    <w:rPr>
                      <w:rFonts w:hint="eastAsia"/>
                      <w:lang w:eastAsia="zh-CN"/>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w:t>
            </w:r>
            <w:r>
              <w:rPr>
                <w:rFonts w:hint="eastAsia"/>
                <w:lang w:eastAsia="zh-CN"/>
              </w:rPr>
              <w:t>☑</w:t>
            </w:r>
            <w:r>
              <w:rPr>
                <w:rFonts w:hint="eastAsia"/>
              </w:rPr>
              <w:t>生产/服务过程□环保监测□产品运输□设备维修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u w:val="single"/>
              </w:rPr>
              <w:t>质量精益求精，服务及时周到；实现污染预防，注重节能降耗；及时消除隐患，保障健康安全；遵守法律法规，坚持持续改进。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sz w:val="20"/>
                      <w:szCs w:val="20"/>
                    </w:rPr>
                    <w:t>1.</w:t>
                  </w:r>
                  <w:r>
                    <w:rPr>
                      <w:rFonts w:hint="eastAsia"/>
                      <w:sz w:val="20"/>
                      <w:szCs w:val="20"/>
                      <w:lang w:val="en-US" w:eastAsia="zh-CN"/>
                    </w:rPr>
                    <w:t>生产</w:t>
                  </w:r>
                  <w:r>
                    <w:rPr>
                      <w:rFonts w:hint="eastAsia"/>
                      <w:sz w:val="20"/>
                      <w:szCs w:val="20"/>
                    </w:rPr>
                    <w:t>服务发生变化时，环境因素危险源未及时更新</w:t>
                  </w:r>
                </w:p>
              </w:tc>
              <w:tc>
                <w:tcPr>
                  <w:tcW w:w="3965" w:type="dxa"/>
                  <w:vAlign w:val="center"/>
                </w:tcPr>
                <w:p>
                  <w:r>
                    <w:rPr>
                      <w:rFonts w:hint="eastAsia"/>
                      <w:sz w:val="20"/>
                      <w:szCs w:val="20"/>
                    </w:rPr>
                    <w:t>环境因素危险源识别与评价管理中明确环境因素危险源明确评价及更新的时机:每年一次评审、生产活动和服务有增减时</w:t>
                  </w:r>
                </w:p>
              </w:tc>
              <w:tc>
                <w:tcPr>
                  <w:tcW w:w="1717" w:type="dxa"/>
                  <w:vAlign w:val="top"/>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sz w:val="20"/>
                      <w:szCs w:val="20"/>
                    </w:rPr>
                    <w:t>2.重要环境因素危险源识别错误,漏识别或多识别</w:t>
                  </w:r>
                </w:p>
              </w:tc>
              <w:tc>
                <w:tcPr>
                  <w:tcW w:w="3965" w:type="dxa"/>
                  <w:vAlign w:val="center"/>
                </w:tcPr>
                <w:p>
                  <w:r>
                    <w:rPr>
                      <w:rFonts w:hint="eastAsia"/>
                      <w:sz w:val="20"/>
                      <w:szCs w:val="20"/>
                    </w:rPr>
                    <w:t>环境因素危险源识别与评价管理中明确重要环境因素危险源的评价方法并对环境因素的评价者进行教育培训和资格认定</w:t>
                  </w:r>
                </w:p>
              </w:tc>
              <w:tc>
                <w:tcPr>
                  <w:tcW w:w="1717" w:type="dxa"/>
                  <w:vAlign w:val="top"/>
                </w:tcPr>
                <w:p>
                  <w:pPr>
                    <w:shd w:val="clear" w:color="auto" w:fill="EBF1DE" w:themeFill="accent3" w:themeFillTint="32"/>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rPr>
                <w:rFonts w:hint="default" w:eastAsia="宋体"/>
                <w:lang w:val="en-US" w:eastAsia="zh-CN"/>
              </w:rPr>
            </w:pPr>
            <w:r>
              <w:rPr>
                <w:rFonts w:hint="eastAsia"/>
              </w:rPr>
              <w:t>□环境影响登记表日期：</w:t>
            </w:r>
            <w:r>
              <w:rPr>
                <w:rFonts w:hint="eastAsia"/>
                <w:lang w:val="en-US" w:eastAsia="zh-CN"/>
              </w:rPr>
              <w:t>2020.2.25</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3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32"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shd w:val="clear" w:color="auto" w:fill="auto"/>
                  <w:vAlign w:val="center"/>
                </w:tcPr>
                <w:p>
                  <w:pPr>
                    <w:jc w:val="left"/>
                  </w:pPr>
                  <w:r>
                    <w:rPr>
                      <w:rFonts w:hint="eastAsia" w:hAnsi="宋体"/>
                      <w:snapToGrid w:val="0"/>
                    </w:rPr>
                    <w:t>固体废物</w:t>
                  </w:r>
                  <w:r>
                    <w:rPr>
                      <w:rFonts w:hint="eastAsia"/>
                    </w:rPr>
                    <w:t>统一收集处理率100%</w:t>
                  </w:r>
                </w:p>
              </w:tc>
              <w:tc>
                <w:tcPr>
                  <w:tcW w:w="2732" w:type="dxa"/>
                  <w:shd w:val="clear" w:color="auto" w:fill="auto"/>
                  <w:vAlign w:val="center"/>
                </w:tcPr>
                <w:p>
                  <w:pPr>
                    <w:jc w:val="center"/>
                    <w:rPr>
                      <w:lang w:val="en-GB"/>
                    </w:rPr>
                  </w:pPr>
                  <w:r>
                    <w:rPr>
                      <w:rFonts w:hint="eastAsia" w:ascii="宋体" w:hAnsi="宋体" w:cs="Times New Roman"/>
                      <w:b w:val="0"/>
                      <w:bCs w:val="0"/>
                      <w:snapToGrid/>
                      <w:kern w:val="2"/>
                      <w:sz w:val="21"/>
                      <w:szCs w:val="21"/>
                      <w:lang w:val="en-US" w:eastAsia="zh-CN"/>
                    </w:rPr>
                    <w:t>分类收集处理</w:t>
                  </w:r>
                </w:p>
              </w:tc>
              <w:tc>
                <w:tcPr>
                  <w:tcW w:w="1350" w:type="dxa"/>
                  <w:shd w:val="clear" w:color="auto" w:fill="auto"/>
                  <w:vAlign w:val="center"/>
                </w:tcPr>
                <w:p>
                  <w:pPr>
                    <w:jc w:val="left"/>
                    <w:rPr>
                      <w:rFonts w:hint="default" w:eastAsia="宋体"/>
                      <w:lang w:val="en-US" w:eastAsia="zh-CN"/>
                    </w:rPr>
                  </w:pPr>
                  <w:r>
                    <w:rPr>
                      <w:rFonts w:hint="eastAsia"/>
                      <w:lang w:val="en-US" w:eastAsia="zh-CN"/>
                    </w:rPr>
                    <w:t>综合管理部</w:t>
                  </w:r>
                </w:p>
              </w:tc>
              <w:tc>
                <w:tcPr>
                  <w:tcW w:w="1774" w:type="dxa"/>
                  <w:shd w:val="clear" w:color="auto" w:fill="auto"/>
                  <w:vAlign w:val="center"/>
                </w:tcPr>
                <w:p>
                  <w:pPr>
                    <w:jc w:val="center"/>
                    <w:rPr>
                      <w:rFonts w:ascii="宋体" w:hAnsi="宋体"/>
                      <w:lang w:val="en-GB"/>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shd w:val="clear" w:color="auto" w:fill="auto"/>
                  <w:vAlign w:val="center"/>
                </w:tcPr>
                <w:p>
                  <w:pPr>
                    <w:jc w:val="left"/>
                  </w:pPr>
                  <w:r>
                    <w:rPr>
                      <w:rFonts w:hint="eastAsia" w:ascii="Times New Roman" w:hAnsi="Times New Roman" w:eastAsia="宋体" w:cs="Times New Roman"/>
                      <w:szCs w:val="22"/>
                    </w:rPr>
                    <w:t>杜绝火灾事件</w:t>
                  </w:r>
                </w:p>
              </w:tc>
              <w:tc>
                <w:tcPr>
                  <w:tcW w:w="2732" w:type="dxa"/>
                  <w:shd w:val="clear" w:color="auto" w:fill="auto"/>
                  <w:vAlign w:val="center"/>
                </w:tcPr>
                <w:p>
                  <w:pPr>
                    <w:jc w:val="center"/>
                    <w:rPr>
                      <w:rFonts w:ascii="宋体" w:hAnsi="宋体"/>
                    </w:rPr>
                  </w:pPr>
                  <w:r>
                    <w:rPr>
                      <w:rFonts w:hint="eastAsia" w:ascii="宋体" w:hAnsi="宋体"/>
                      <w:szCs w:val="21"/>
                    </w:rPr>
                    <w:t>配备消防器材，应急演练</w:t>
                  </w:r>
                </w:p>
              </w:tc>
              <w:tc>
                <w:tcPr>
                  <w:tcW w:w="1350" w:type="dxa"/>
                  <w:shd w:val="clear" w:color="auto" w:fill="auto"/>
                  <w:vAlign w:val="center"/>
                </w:tcPr>
                <w:p>
                  <w:pPr>
                    <w:jc w:val="left"/>
                    <w:rPr>
                      <w:rFonts w:ascii="宋体" w:hAnsi="宋体"/>
                    </w:rPr>
                  </w:pPr>
                  <w:r>
                    <w:rPr>
                      <w:rFonts w:hint="eastAsia"/>
                      <w:lang w:val="en-US" w:eastAsia="zh-CN"/>
                    </w:rPr>
                    <w:t>综合管理部</w:t>
                  </w:r>
                </w:p>
              </w:tc>
              <w:tc>
                <w:tcPr>
                  <w:tcW w:w="1774" w:type="dxa"/>
                  <w:shd w:val="clear" w:color="auto" w:fill="auto"/>
                  <w:vAlign w:val="center"/>
                </w:tcPr>
                <w:p>
                  <w:pPr>
                    <w:jc w:val="center"/>
                    <w:rPr>
                      <w:rFonts w:ascii="宋体" w:hAnsi="宋体"/>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shd w:val="clear" w:color="auto" w:fill="auto"/>
                </w:tcPr>
                <w:p>
                  <w:pPr>
                    <w:shd w:val="clear" w:color="auto" w:fill="EBF1DE" w:themeFill="accent3" w:themeFillTint="32"/>
                  </w:pPr>
                </w:p>
              </w:tc>
              <w:tc>
                <w:tcPr>
                  <w:tcW w:w="2732"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shd w:val="clear" w:color="auto" w:fill="auto"/>
                </w:tcPr>
                <w:p>
                  <w:pPr>
                    <w:shd w:val="clear" w:color="auto" w:fill="EBF1DE" w:themeFill="accent3" w:themeFillTint="32"/>
                  </w:pPr>
                </w:p>
              </w:tc>
              <w:tc>
                <w:tcPr>
                  <w:tcW w:w="2732"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w:t>
            </w:r>
            <w:r>
              <w:rPr>
                <w:rFonts w:hint="eastAsia" w:ascii="Times New Roman" w:hAnsi="Times New Roman" w:eastAsia="宋体" w:cs="Times New Roman"/>
              </w:rPr>
              <w:t>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建筑面积1284平方米；生产车间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2</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1</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ascii="Times New Roman" w:hAnsi="Times New Roman" w:eastAsia="宋体" w:cs="Times New Roman"/>
                <w:lang w:val="en-US" w:eastAsia="zh-CN"/>
              </w:rPr>
              <w:t>水平振荡器、5速台钻、控制器、稳压电源</w:t>
            </w:r>
          </w:p>
          <w:p>
            <w:pPr>
              <w:shd w:val="clear" w:color="auto" w:fill="EBF1DE" w:themeFill="accent3" w:themeFillTint="32"/>
              <w:rPr>
                <w:rFonts w:hint="eastAsia" w:eastAsia="宋体"/>
                <w:u w:val="single"/>
                <w:lang w:eastAsia="zh-CN"/>
              </w:rPr>
            </w:pPr>
            <w:r>
              <w:rPr>
                <w:rFonts w:hint="eastAsia"/>
              </w:rPr>
              <w:t>主要环保设备有：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宋体" w:hAnsi="宋体" w:eastAsia="宋体" w:cs="Times New Roman"/>
                <w:color w:val="auto"/>
                <w:sz w:val="21"/>
                <w:szCs w:val="21"/>
                <w:shd w:val="clear" w:color="auto" w:fill="auto"/>
                <w:lang w:val="en-US" w:eastAsia="zh-CN"/>
              </w:rPr>
              <w:t>DQY100C-I电子取样器</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vAlign w:val="top"/>
                </w:tcPr>
                <w:p>
                  <w:pPr>
                    <w:shd w:val="clear" w:color="auto" w:fill="EBF1DE" w:themeFill="accent3" w:themeFillTint="32"/>
                    <w:jc w:val="left"/>
                  </w:pPr>
                  <w:r>
                    <w:rPr>
                      <w:rFonts w:hint="eastAsia"/>
                    </w:rPr>
                    <w:t>控制措施</w:t>
                  </w:r>
                </w:p>
              </w:tc>
              <w:tc>
                <w:tcPr>
                  <w:tcW w:w="3265" w:type="dxa"/>
                  <w:vAlign w:val="top"/>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t>节约水电</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eastAsia" w:eastAsia="宋体"/>
                      <w:lang w:val="en-US" w:eastAsia="zh-CN"/>
                    </w:rPr>
                  </w:pPr>
                  <w:r>
                    <w:t>节约用纸和</w:t>
                  </w:r>
                  <w:r>
                    <w:rPr>
                      <w:rFonts w:hint="eastAsia"/>
                      <w:lang w:val="en-US" w:eastAsia="zh-CN"/>
                    </w:rPr>
                    <w:t>生产材料</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t>排入市政管道</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t>无</w:t>
                  </w:r>
                </w:p>
              </w:tc>
              <w:tc>
                <w:tcPr>
                  <w:tcW w:w="3265" w:type="dxa"/>
                  <w:vAlign w:val="top"/>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t>无</w:t>
                  </w:r>
                </w:p>
              </w:tc>
              <w:tc>
                <w:tcPr>
                  <w:tcW w:w="3265" w:type="dxa"/>
                  <w:vAlign w:val="top"/>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t>分类收集处理</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t>无</w:t>
                  </w:r>
                </w:p>
              </w:tc>
              <w:tc>
                <w:tcPr>
                  <w:tcW w:w="3265" w:type="dxa"/>
                  <w:vAlign w:val="top"/>
                </w:tcPr>
                <w:p>
                  <w:pPr>
                    <w:shd w:val="clear" w:color="auto" w:fill="EBF1DE" w:themeFill="accent3" w:themeFillTint="32"/>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t>应急预案</w:t>
                  </w:r>
                  <w:r>
                    <w:rPr>
                      <w:rFonts w:hint="eastAsia"/>
                    </w:rPr>
                    <w:t>、</w:t>
                  </w:r>
                  <w:r>
                    <w:t>消防器材</w:t>
                  </w:r>
                </w:p>
              </w:tc>
              <w:tc>
                <w:tcPr>
                  <w:tcW w:w="3265" w:type="dxa"/>
                  <w:vAlign w:val="top"/>
                </w:tcPr>
                <w:p>
                  <w:pPr>
                    <w:shd w:val="clear" w:color="auto" w:fill="EBF1DE" w:themeFill="accent3" w:themeFillTint="32"/>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Times New Roman" w:hAnsi="Times New Roman" w:eastAsia="宋体" w:cs="Times New Roman"/>
                <w:szCs w:val="22"/>
              </w:rPr>
              <w:t>202</w:t>
            </w:r>
            <w:r>
              <w:rPr>
                <w:rFonts w:hint="eastAsia" w:cs="Times New Roman"/>
                <w:szCs w:val="22"/>
                <w:lang w:val="en-US" w:eastAsia="zh-CN"/>
              </w:rPr>
              <w:t>2</w:t>
            </w:r>
            <w:r>
              <w:rPr>
                <w:rFonts w:hint="eastAsia" w:ascii="Times New Roman" w:hAnsi="Times New Roman" w:eastAsia="宋体" w:cs="Times New Roman"/>
                <w:szCs w:val="22"/>
              </w:rPr>
              <w:t>年</w:t>
            </w:r>
            <w:r>
              <w:rPr>
                <w:rFonts w:hint="eastAsia" w:cs="Times New Roman"/>
                <w:szCs w:val="22"/>
                <w:lang w:val="en-US" w:eastAsia="zh-CN"/>
              </w:rPr>
              <w:t>3</w:t>
            </w:r>
            <w:r>
              <w:rPr>
                <w:rFonts w:hint="eastAsia" w:ascii="Times New Roman" w:hAnsi="Times New Roman" w:eastAsia="宋体" w:cs="Times New Roman"/>
                <w:szCs w:val="22"/>
              </w:rPr>
              <w:t>月</w:t>
            </w:r>
            <w:r>
              <w:rPr>
                <w:rFonts w:hint="eastAsia" w:cs="Times New Roman"/>
                <w:szCs w:val="22"/>
                <w:lang w:val="en-US" w:eastAsia="zh-CN"/>
              </w:rPr>
              <w:t>12</w:t>
            </w:r>
            <w:r>
              <w:rPr>
                <w:rFonts w:hint="eastAsia" w:ascii="Times New Roman" w:hAnsi="Times New Roman" w:eastAsia="宋体" w:cs="Times New Roman"/>
                <w:szCs w:val="22"/>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p>
      <w:pPr>
        <w:pStyle w:val="2"/>
      </w:pPr>
    </w:p>
    <w:tbl>
      <w:tblPr>
        <w:tblStyle w:val="14"/>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lang w:eastAsia="zh-CN"/>
              </w:rPr>
              <w:t>☑</w:t>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质量精益求精，服务及时周到；实现污染预防，注重节能降耗；及时消除隐患，保障健康安全；遵守法律法规，坚持持续改进。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张诗睿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sz w:val="20"/>
                      <w:szCs w:val="20"/>
                    </w:rPr>
                    <w:t>1.紧急状态事件未识别或识别不充分</w:t>
                  </w:r>
                </w:p>
              </w:tc>
              <w:tc>
                <w:tcPr>
                  <w:tcW w:w="3965" w:type="dxa"/>
                  <w:vAlign w:val="center"/>
                </w:tcPr>
                <w:p>
                  <w:r>
                    <w:rPr>
                      <w:rFonts w:hint="eastAsia"/>
                      <w:sz w:val="20"/>
                      <w:szCs w:val="20"/>
                    </w:rPr>
                    <w:t xml:space="preserve">制定应急准备与响应管规定明确紧急事件的范围:火灾自然灾害 </w:t>
                  </w:r>
                </w:p>
              </w:tc>
              <w:tc>
                <w:tcPr>
                  <w:tcW w:w="1717" w:type="dxa"/>
                  <w:vAlign w:val="top"/>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sz w:val="20"/>
                      <w:szCs w:val="20"/>
                    </w:rPr>
                    <w:t>2.针对紧急事件未制定应急计划或应急计划不合理</w:t>
                  </w:r>
                </w:p>
              </w:tc>
              <w:tc>
                <w:tcPr>
                  <w:tcW w:w="3965" w:type="dxa"/>
                  <w:vAlign w:val="center"/>
                </w:tcPr>
                <w:p>
                  <w:r>
                    <w:rPr>
                      <w:rFonts w:hint="eastAsia"/>
                      <w:sz w:val="20"/>
                      <w:szCs w:val="20"/>
                    </w:rPr>
                    <w:t>制定应急计划/预案,并定期演习评价改进</w:t>
                  </w:r>
                </w:p>
              </w:tc>
              <w:tc>
                <w:tcPr>
                  <w:tcW w:w="1717" w:type="dxa"/>
                  <w:vAlign w:val="top"/>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r>
                    <w:rPr>
                      <w:rFonts w:hint="eastAsia"/>
                      <w:sz w:val="20"/>
                      <w:szCs w:val="20"/>
                    </w:rPr>
                    <w:t>3.应急计划无法进行响应</w:t>
                  </w:r>
                </w:p>
              </w:tc>
              <w:tc>
                <w:tcPr>
                  <w:tcW w:w="3965" w:type="dxa"/>
                  <w:vAlign w:val="center"/>
                </w:tcPr>
                <w:p>
                  <w:r>
                    <w:rPr>
                      <w:rFonts w:hint="eastAsia"/>
                      <w:sz w:val="20"/>
                      <w:szCs w:val="20"/>
                    </w:rPr>
                    <w:t>在可能发生紧急事件的场所揭示应急联络网,定期培训和演习评价</w:t>
                  </w:r>
                </w:p>
              </w:tc>
              <w:tc>
                <w:tcPr>
                  <w:tcW w:w="1717" w:type="dxa"/>
                  <w:vAlign w:val="top"/>
                </w:tcPr>
                <w:p>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pPr>
                  <w:r>
                    <w:rPr>
                      <w:rFonts w:hint="eastAsia" w:ascii="Times New Roman" w:hAnsi="Times New Roman" w:eastAsia="宋体" w:cs="Times New Roman"/>
                      <w:szCs w:val="22"/>
                    </w:rPr>
                    <w:t>杜绝重伤、死亡事件；</w:t>
                  </w:r>
                </w:p>
              </w:tc>
              <w:tc>
                <w:tcPr>
                  <w:tcW w:w="3136" w:type="dxa"/>
                  <w:shd w:val="clear" w:color="auto" w:fill="auto"/>
                  <w:vAlign w:val="center"/>
                </w:tcPr>
                <w:p>
                  <w:pPr>
                    <w:jc w:val="center"/>
                    <w:rPr>
                      <w:lang w:val="en-GB"/>
                    </w:rPr>
                  </w:pPr>
                  <w:r>
                    <w:rPr>
                      <w:rFonts w:hint="eastAsia"/>
                    </w:rPr>
                    <w:t>制定应急预案，培训教育</w:t>
                  </w:r>
                </w:p>
              </w:tc>
              <w:tc>
                <w:tcPr>
                  <w:tcW w:w="1350" w:type="dxa"/>
                  <w:shd w:val="clear" w:color="auto" w:fill="auto"/>
                  <w:vAlign w:val="center"/>
                </w:tcPr>
                <w:p>
                  <w:pPr>
                    <w:rPr>
                      <w:lang w:val="en-GB"/>
                    </w:rPr>
                  </w:pPr>
                  <w:r>
                    <w:rPr>
                      <w:rFonts w:hint="eastAsia" w:ascii="宋体" w:hAnsi="宋体"/>
                      <w:lang w:val="en-US" w:eastAsia="zh-CN"/>
                    </w:rPr>
                    <w:t>综合管理部</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pPr>
                  <w:r>
                    <w:rPr>
                      <w:rFonts w:hint="eastAsia" w:ascii="Times New Roman" w:hAnsi="Times New Roman" w:eastAsia="宋体" w:cs="Times New Roman"/>
                      <w:szCs w:val="22"/>
                    </w:rPr>
                    <w:t>杜绝火灾事件</w:t>
                  </w:r>
                </w:p>
              </w:tc>
              <w:tc>
                <w:tcPr>
                  <w:tcW w:w="3136" w:type="dxa"/>
                  <w:shd w:val="clear" w:color="auto" w:fill="auto"/>
                  <w:vAlign w:val="center"/>
                </w:tcPr>
                <w:p>
                  <w:pPr>
                    <w:jc w:val="center"/>
                    <w:rPr>
                      <w:rFonts w:ascii="宋体" w:hAnsi="宋体"/>
                    </w:rPr>
                  </w:pPr>
                  <w:r>
                    <w:rPr>
                      <w:rFonts w:hint="eastAsia" w:ascii="Times New Roman" w:hAnsi="Times New Roman" w:cs="Times New Roman"/>
                      <w:b w:val="0"/>
                      <w:bCs w:val="0"/>
                      <w:snapToGrid/>
                      <w:kern w:val="2"/>
                      <w:sz w:val="21"/>
                      <w:szCs w:val="24"/>
                      <w:lang w:val="en-US" w:eastAsia="zh-CN"/>
                    </w:rPr>
                    <w:t>制定预案，定期检查，培训教育</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综合管理部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pPr>
                  <w:r>
                    <w:rPr>
                      <w:rFonts w:hint="eastAsia" w:ascii="Times New Roman" w:hAnsi="Times New Roman" w:eastAsia="宋体" w:cs="Times New Roman"/>
                      <w:szCs w:val="22"/>
                    </w:rPr>
                    <w:t>杜绝机械伤害、触电事故</w:t>
                  </w:r>
                </w:p>
              </w:tc>
              <w:tc>
                <w:tcPr>
                  <w:tcW w:w="3136" w:type="dxa"/>
                  <w:shd w:val="clear" w:color="auto" w:fill="auto"/>
                  <w:vAlign w:val="center"/>
                </w:tcPr>
                <w:p>
                  <w:pPr>
                    <w:jc w:val="center"/>
                    <w:rPr>
                      <w:rFonts w:ascii="宋体" w:hAnsi="宋体"/>
                    </w:rPr>
                  </w:pPr>
                  <w:r>
                    <w:rPr>
                      <w:rFonts w:hint="eastAsia"/>
                    </w:rPr>
                    <w:t>制定应急预案，培训教育</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建筑面积1284平方米；生产车间1个；库房2个；实验室1个；</w:t>
            </w:r>
          </w:p>
          <w:p>
            <w:pPr>
              <w:rPr>
                <w:rFonts w:hint="eastAsia"/>
              </w:rPr>
            </w:pPr>
            <w:r>
              <w:rPr>
                <w:rFonts w:hint="eastAsia"/>
              </w:rPr>
              <w:t>主要生产设备有：水平振荡器、5速台钻、控制器、稳压电源</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宋体" w:hAnsi="宋体" w:eastAsia="宋体" w:cs="Times New Roman"/>
                <w:color w:val="auto"/>
                <w:sz w:val="21"/>
                <w:szCs w:val="21"/>
                <w:shd w:val="clear" w:color="auto" w:fill="auto"/>
                <w:lang w:val="en-US" w:eastAsia="zh-CN"/>
              </w:rPr>
              <w:t>DQY100C-I电子取样器</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w:t>
                  </w:r>
                  <w:r>
                    <w:rPr>
                      <w:rFonts w:hint="eastAsia"/>
                      <w:lang w:eastAsia="zh-CN"/>
                    </w:rPr>
                    <w:t>☑</w:t>
                  </w:r>
                  <w:r>
                    <w:rPr>
                      <w:rFonts w:hint="eastAsia"/>
                    </w:rPr>
                    <w:t>挂牌上锁管理</w:t>
                  </w:r>
                </w:p>
              </w:tc>
              <w:tc>
                <w:tcPr>
                  <w:tcW w:w="2205" w:type="dxa"/>
                </w:tcPr>
                <w:p>
                  <w:pPr>
                    <w:jc w:val="left"/>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w:t>
                  </w:r>
                  <w:r>
                    <w:rPr>
                      <w:rFonts w:hint="eastAsia"/>
                      <w:lang w:eastAsia="zh-CN"/>
                    </w:rPr>
                    <w:t>☑</w:t>
                  </w:r>
                  <w:r>
                    <w:rPr>
                      <w:rFonts w:hint="eastAsia"/>
                    </w:rPr>
                    <w:t>绝缘用具检测</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lang w:eastAsia="zh-CN"/>
                    </w:rPr>
                    <w:t>☑</w:t>
                  </w:r>
                  <w:r>
                    <w:rPr>
                      <w:rFonts w:hint="eastAsia"/>
                    </w:rPr>
                    <w:t>排风系统□穿戴劳保用品</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jc w:val="left"/>
                  </w:pPr>
                  <w:r>
                    <w:rPr>
                      <w:rFonts w:hint="eastAsia"/>
                    </w:rPr>
                    <w:t>火灾</w:t>
                  </w:r>
                </w:p>
              </w:tc>
              <w:tc>
                <w:tcPr>
                  <w:tcW w:w="4725" w:type="dxa"/>
                  <w:vAlign w:val="top"/>
                </w:tcPr>
                <w:p>
                  <w:pPr>
                    <w:jc w:val="left"/>
                  </w:pPr>
                  <w:r>
                    <w:t>应急预案</w:t>
                  </w:r>
                  <w:r>
                    <w:rPr>
                      <w:rFonts w:hint="eastAsia"/>
                    </w:rPr>
                    <w:t>、</w:t>
                  </w:r>
                  <w:r>
                    <w:t>消防器材</w:t>
                  </w:r>
                </w:p>
              </w:tc>
              <w:tc>
                <w:tcPr>
                  <w:tcW w:w="2205" w:type="dxa"/>
                  <w:vAlign w:val="top"/>
                </w:tcPr>
                <w:p>
                  <w:pPr>
                    <w:jc w:val="left"/>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vAlign w:val="top"/>
                </w:tcPr>
                <w:p>
                  <w:pPr>
                    <w:jc w:val="left"/>
                  </w:pPr>
                  <w:r>
                    <w:t>遵守交通法规</w:t>
                  </w:r>
                  <w:r>
                    <w:rPr>
                      <w:rFonts w:hint="eastAsia"/>
                    </w:rPr>
                    <w:t>、</w:t>
                  </w:r>
                  <w:r>
                    <w:t>车辆年检</w:t>
                  </w:r>
                </w:p>
              </w:tc>
              <w:tc>
                <w:tcPr>
                  <w:tcW w:w="2205" w:type="dxa"/>
                  <w:vAlign w:val="top"/>
                </w:tcPr>
                <w:p>
                  <w:pPr>
                    <w:jc w:val="left"/>
                  </w:pPr>
                  <w:r>
                    <w:t>符合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Times New Roman" w:hAnsi="Times New Roman" w:eastAsia="宋体" w:cs="Times New Roman"/>
                <w:szCs w:val="22"/>
              </w:rPr>
              <w:t>202</w:t>
            </w:r>
            <w:r>
              <w:rPr>
                <w:rFonts w:hint="eastAsia" w:cs="Times New Roman"/>
                <w:szCs w:val="22"/>
                <w:lang w:val="en-US" w:eastAsia="zh-CN"/>
              </w:rPr>
              <w:t>2</w:t>
            </w:r>
            <w:r>
              <w:rPr>
                <w:rFonts w:hint="eastAsia" w:ascii="Times New Roman" w:hAnsi="Times New Roman" w:eastAsia="宋体" w:cs="Times New Roman"/>
                <w:szCs w:val="22"/>
              </w:rPr>
              <w:t>年</w:t>
            </w:r>
            <w:r>
              <w:rPr>
                <w:rFonts w:hint="eastAsia" w:cs="Times New Roman"/>
                <w:szCs w:val="22"/>
                <w:lang w:val="en-US" w:eastAsia="zh-CN"/>
              </w:rPr>
              <w:t>3</w:t>
            </w:r>
            <w:r>
              <w:rPr>
                <w:rFonts w:hint="eastAsia" w:ascii="Times New Roman" w:hAnsi="Times New Roman" w:eastAsia="宋体" w:cs="Times New Roman"/>
                <w:szCs w:val="22"/>
              </w:rPr>
              <w:t>月</w:t>
            </w:r>
            <w:r>
              <w:rPr>
                <w:rFonts w:hint="eastAsia" w:cs="Times New Roman"/>
                <w:szCs w:val="22"/>
                <w:lang w:val="en-US" w:eastAsia="zh-CN"/>
              </w:rPr>
              <w:t>12</w:t>
            </w:r>
            <w:r>
              <w:rPr>
                <w:rFonts w:hint="eastAsia" w:ascii="Times New Roman" w:hAnsi="Times New Roman" w:eastAsia="宋体" w:cs="Times New Roman"/>
                <w:szCs w:val="22"/>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《职业病体检》编号：80100121092946016</w:t>
            </w:r>
            <w:r>
              <w:rPr>
                <w:rFonts w:hint="eastAsia"/>
                <w:lang w:eastAsia="zh-CN"/>
              </w:rPr>
              <w:t>、80100121092946017、80100121092946018</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4"/>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3"/>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3"/>
        <w:rFonts w:hint="default"/>
      </w:rPr>
      <w:t>北京国标联合认证有限公司</w:t>
    </w:r>
    <w:r>
      <w:rPr>
        <w:rStyle w:val="23"/>
        <w:rFonts w:hint="default"/>
      </w:rPr>
      <w:tab/>
    </w:r>
    <w:r>
      <w:rPr>
        <w:rStyle w:val="23"/>
        <w:rFonts w:hint="default"/>
      </w:rPr>
      <w:tab/>
    </w:r>
    <w:r>
      <w:rPr>
        <w:rStyle w:val="23"/>
        <w:rFonts w:hint="default"/>
      </w:rPr>
      <w:tab/>
    </w:r>
  </w:p>
  <w:p>
    <w:pPr>
      <w:pStyle w:val="11"/>
      <w:pBdr>
        <w:bottom w:val="single" w:color="auto" w:sz="4" w:space="1"/>
      </w:pBdr>
      <w:spacing w:line="320" w:lineRule="exact"/>
      <w:ind w:firstLine="756" w:firstLineChars="400"/>
      <w:jc w:val="left"/>
      <w:rPr>
        <w:rStyle w:val="23"/>
        <w:rFonts w:hint="default"/>
      </w:rPr>
    </w:pPr>
    <w:r>
      <w:rPr>
        <w:rStyle w:val="23"/>
        <w:rFonts w:hint="default"/>
        <w:w w:val="90"/>
      </w:rPr>
      <w:t>Beijing International Standard united Certification Co.,Ltd.</w:t>
    </w:r>
    <w:r>
      <w:rPr>
        <w:rStyle w:val="23"/>
        <w:rFonts w:hint="default"/>
      </w:rPr>
      <w:tab/>
    </w:r>
    <w:r>
      <w:rPr>
        <w:rStyle w:val="23"/>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16CE23EC"/>
    <w:rsid w:val="706F6AC6"/>
    <w:rsid w:val="781B0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next w:val="6"/>
    <w:unhideWhenUsed/>
    <w:qFormat/>
    <w:uiPriority w:val="99"/>
    <w:pPr>
      <w:spacing w:line="42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paragraph" w:styleId="18">
    <w:name w:val="List Paragraph"/>
    <w:basedOn w:val="1"/>
    <w:qFormat/>
    <w:uiPriority w:val="34"/>
    <w:pPr>
      <w:ind w:firstLine="420" w:firstLineChars="200"/>
    </w:pPr>
  </w:style>
  <w:style w:type="character" w:customStyle="1" w:styleId="19">
    <w:name w:val="页眉 Char1"/>
    <w:basedOn w:val="16"/>
    <w:link w:val="11"/>
    <w:qFormat/>
    <w:uiPriority w:val="99"/>
    <w:rPr>
      <w:rFonts w:ascii="Times New Roman" w:hAnsi="Times New Roman" w:eastAsia="宋体" w:cs="Times New Roman"/>
      <w:sz w:val="18"/>
      <w:szCs w:val="18"/>
    </w:rPr>
  </w:style>
  <w:style w:type="character" w:customStyle="1" w:styleId="20">
    <w:name w:val="页脚 Char"/>
    <w:basedOn w:val="16"/>
    <w:link w:val="10"/>
    <w:qFormat/>
    <w:uiPriority w:val="99"/>
    <w:rPr>
      <w:rFonts w:ascii="Times New Roman" w:hAnsi="Times New Roman" w:eastAsia="宋体" w:cs="Times New Roman"/>
      <w:sz w:val="18"/>
      <w:szCs w:val="18"/>
    </w:rPr>
  </w:style>
  <w:style w:type="character" w:customStyle="1" w:styleId="21">
    <w:name w:val="批注框文本 Char"/>
    <w:basedOn w:val="16"/>
    <w:link w:val="9"/>
    <w:semiHidden/>
    <w:qFormat/>
    <w:uiPriority w:val="99"/>
    <w:rPr>
      <w:rFonts w:ascii="Times New Roman" w:hAnsi="Times New Roman" w:eastAsia="宋体" w:cs="Times New Roman"/>
      <w:sz w:val="18"/>
      <w:szCs w:val="18"/>
    </w:rPr>
  </w:style>
  <w:style w:type="character" w:customStyle="1" w:styleId="22">
    <w:name w:val="页眉 Char"/>
    <w:qFormat/>
    <w:uiPriority w:val="0"/>
    <w:rPr>
      <w:kern w:val="2"/>
      <w:sz w:val="18"/>
      <w:szCs w:val="18"/>
    </w:rPr>
  </w:style>
  <w:style w:type="character" w:customStyle="1" w:styleId="23">
    <w:name w:val="Char Char1"/>
    <w:qFormat/>
    <w:locked/>
    <w:uiPriority w:val="0"/>
    <w:rPr>
      <w:rFonts w:hint="eastAsia" w:ascii="宋体" w:hAnsi="Courier New" w:eastAsia="宋体"/>
      <w:kern w:val="2"/>
      <w:sz w:val="21"/>
      <w:lang w:val="en-US" w:eastAsia="zh-CN" w:bidi="ar-SA"/>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TM_accreditation"/>
    <w:basedOn w:val="1"/>
    <w:qFormat/>
    <w:uiPriority w:val="0"/>
    <w:pPr>
      <w:spacing w:before="40" w:after="40"/>
    </w:pPr>
    <w:rPr>
      <w:rFonts w:eastAsia="Times New Roman"/>
      <w:sz w:val="20"/>
      <w:szCs w:val="20"/>
      <w:lang w:val="en-GB" w:eastAsia="de-DE"/>
    </w:rPr>
  </w:style>
  <w:style w:type="paragraph" w:customStyle="1" w:styleId="27">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19240</Words>
  <Characters>20293</Characters>
  <Lines>150</Lines>
  <Paragraphs>42</Paragraphs>
  <TotalTime>4</TotalTime>
  <ScaleCrop>false</ScaleCrop>
  <LinksUpToDate>false</LinksUpToDate>
  <CharactersWithSpaces>20440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2022-05-19T13:38:21Z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