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受审核部门：管理层</w:t>
            </w:r>
            <w:r>
              <w:rPr>
                <w:rFonts w:hint="eastAsia" w:ascii="宋体" w:hAnsi="宋体" w:eastAsia="宋体" w:cs="宋体"/>
                <w:sz w:val="24"/>
                <w:szCs w:val="24"/>
                <w:lang w:val="en-US" w:eastAsia="zh-CN"/>
              </w:rPr>
              <w:t xml:space="preserve">/员工代表  </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兰孟平</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 xml:space="preserve"> 李希孝/张诗睿</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004"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eastAsia="zh-CN"/>
              </w:rPr>
              <w:t>李俐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审核时间：2022年04月16日</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4"/>
                <w:szCs w:val="24"/>
              </w:rPr>
            </w:pPr>
            <w:r>
              <w:rPr>
                <w:rFonts w:hint="eastAsia" w:ascii="宋体" w:hAnsi="宋体" w:eastAsia="宋体" w:cs="宋体"/>
                <w:sz w:val="24"/>
                <w:szCs w:val="24"/>
              </w:rPr>
              <w:t>审核条款：</w:t>
            </w:r>
          </w:p>
          <w:p>
            <w:pPr>
              <w:adjustRightInd w:val="0"/>
              <w:snapToGrid w:val="0"/>
              <w:spacing w:line="360" w:lineRule="auto"/>
              <w:ind w:right="105" w:rightChars="50"/>
              <w:jc w:val="left"/>
              <w:textAlignment w:val="baseline"/>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：4.1；4.2；4.3；4.4；5.1；5.2；5.3；6.1</w:t>
            </w:r>
            <w:r>
              <w:rPr>
                <w:rFonts w:hint="eastAsia" w:ascii="宋体" w:hAnsi="宋体" w:cs="宋体"/>
                <w:sz w:val="24"/>
                <w:szCs w:val="24"/>
                <w:lang w:eastAsia="zh-CN"/>
              </w:rPr>
              <w:t>（</w:t>
            </w:r>
            <w:r>
              <w:rPr>
                <w:rFonts w:hint="eastAsia" w:ascii="宋体" w:hAnsi="宋体" w:cs="宋体"/>
                <w:sz w:val="24"/>
                <w:szCs w:val="24"/>
                <w:lang w:val="en-US" w:eastAsia="zh-CN"/>
              </w:rPr>
              <w:t>EO</w:t>
            </w:r>
            <w:r>
              <w:rPr>
                <w:rFonts w:hint="eastAsia" w:ascii="宋体" w:hAnsi="宋体" w:eastAsia="宋体" w:cs="宋体"/>
                <w:sz w:val="24"/>
                <w:szCs w:val="24"/>
              </w:rPr>
              <w:t>6.1.1</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O</w:t>
            </w:r>
            <w:r>
              <w:rPr>
                <w:rFonts w:hint="eastAsia" w:ascii="宋体" w:hAnsi="宋体" w:eastAsia="宋体" w:cs="宋体"/>
                <w:sz w:val="24"/>
                <w:szCs w:val="24"/>
              </w:rPr>
              <w:t>6.1.4</w:t>
            </w:r>
            <w:r>
              <w:rPr>
                <w:rFonts w:hint="eastAsia" w:ascii="宋体" w:hAnsi="宋体" w:cs="宋体"/>
                <w:sz w:val="24"/>
                <w:szCs w:val="24"/>
                <w:lang w:eastAsia="zh-CN"/>
              </w:rPr>
              <w:t>；</w:t>
            </w:r>
            <w:r>
              <w:rPr>
                <w:rFonts w:hint="eastAsia" w:ascii="宋体" w:hAnsi="宋体" w:eastAsia="宋体" w:cs="宋体"/>
                <w:sz w:val="24"/>
                <w:szCs w:val="24"/>
              </w:rPr>
              <w:t>6.2；6.3；7.1.1；7.4；</w:t>
            </w:r>
            <w:r>
              <w:rPr>
                <w:rFonts w:hint="eastAsia" w:ascii="宋体" w:hAnsi="宋体" w:cs="宋体"/>
                <w:sz w:val="24"/>
                <w:szCs w:val="24"/>
                <w:lang w:val="en-US" w:eastAsia="zh-CN"/>
              </w:rPr>
              <w:t>O</w:t>
            </w:r>
            <w:r>
              <w:rPr>
                <w:rFonts w:hint="eastAsia" w:ascii="宋体" w:hAnsi="宋体" w:eastAsia="宋体" w:cs="宋体"/>
                <w:sz w:val="24"/>
                <w:szCs w:val="24"/>
              </w:rPr>
              <w:t>7.4.3</w:t>
            </w:r>
            <w:r>
              <w:rPr>
                <w:rFonts w:hint="eastAsia" w:ascii="宋体" w:hAnsi="宋体" w:cs="宋体"/>
                <w:sz w:val="24"/>
                <w:szCs w:val="24"/>
                <w:lang w:eastAsia="zh-CN"/>
              </w:rPr>
              <w:t>；</w:t>
            </w:r>
            <w:r>
              <w:rPr>
                <w:rFonts w:hint="eastAsia" w:ascii="宋体" w:hAnsi="宋体" w:eastAsia="宋体" w:cs="宋体"/>
                <w:sz w:val="24"/>
                <w:szCs w:val="24"/>
              </w:rPr>
              <w:t>9.2；9.3；10.1；10.3</w:t>
            </w:r>
          </w:p>
          <w:p>
            <w:pPr>
              <w:adjustRightInd w:val="0"/>
              <w:snapToGrid w:val="0"/>
              <w:spacing w:line="360" w:lineRule="auto"/>
              <w:ind w:right="105" w:rightChars="5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标准、规范、法规的执行情况；上次审核不符合项的验证；认证证书、标志的使用情况；投诉或事故；监督抽查情况；体系变化</w:t>
            </w:r>
            <w:r>
              <w:rPr>
                <w:rFonts w:hint="eastAsia" w:ascii="宋体" w:hAnsi="宋体" w:eastAsia="宋体" w:cs="宋体"/>
                <w:sz w:val="24"/>
                <w:szCs w:val="24"/>
              </w:rPr>
              <w:t>国家/地方监督抽查情况；顾客满意、相关方投诉及处理情况；验证企业相关资质证明的有效性；</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理解组织及其环境</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tc>
        <w:tc>
          <w:tcPr>
            <w:tcW w:w="960"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QEO</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tc>
        <w:tc>
          <w:tcPr>
            <w:tcW w:w="10004"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该公司2007年04月24日注册，法人：兰孟平   总经理：  管理者代表：李希孝。</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注册地址：西安市高新区锦业路69号创业研发园A区15号；</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生产经营地址：西安市高新区锦业路69号创业研发园A区15号；</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该场所为写字楼租赁。见附件。</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营业执照符合要求，在有效期限。见附件。</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公司现有2个职能部门: 综合管理部、生产技术部；查“组织的角色、职责和权限”各部门职责权限基本明确。</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经理兰孟平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综合管理部根据由公司销售人员从市场、客户、网络等搜集到的信息并结合公司自身业务运作情况进行分析，通过分析对这些内部和外部因素的相关信息进行监视和评审以确保其充分和适宜，体系运行以来，没有发生重大顾客投诉、环境或职业健康安全事故等。目前公司共有65人，与申请基本一致。</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QEO4.2</w:t>
            </w: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公司主要对与质量环境职业健康安全相关的各相关方及其要求的相关信息进行监视和评审，以便于理解和持续满足相关方的需求和期望。</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确定管理体系的范围</w:t>
            </w:r>
          </w:p>
        </w:tc>
        <w:tc>
          <w:tcPr>
            <w:tcW w:w="960"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QEO</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p>
        </w:tc>
        <w:tc>
          <w:tcPr>
            <w:tcW w:w="10004" w:type="dxa"/>
          </w:tcPr>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2021年6月10日对营业执照进行了更改认证范围：</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项目:石油钻采专用设备制造;石油钻采专用设备销售;电子专用设备制造:其他专用仪器制造:地质勘探和地震专用仪器销售:深海石油钻探设备制造:深海石油钻探设备销售;仪器仪表制造;仪器仪表销售;仪器仪表修理:机械零件、零部件加工;工程和技术研究和试验发展:技术服务、技术开发、技术咨询、技术交流、技术转让、技术推广;在线能源计量技术研发:物联网技术研发;智能控制系统集成;智能仪器仪表制造，智能仪器仪表销售;软件开发:计算机软硬件及外围设备制造:计算机软硬件及辅助设备零售;生态环境监测及检测仪器仪表制造,生态环境监测及检测仪器仪表销售;实验分析仪器制造，专用设备修理;五金产品批发;电子元器件批发:软件销售:工业自动控制系统装置制造:工业自动控制系统装置销售;终端计量设备销售:集成电路芯片及产品销售;集成电路芯片设计及服务:橡胶制品销售:机械设备销售;电工仪器仪表销售:电子测量仪器销售:金属密封件销售;化工产品销售(不含许可类化工产品);信息系统集成服务，专用设备制造(不含许可类专业设备制造);地质勘探和地震专用仪器制造:高性能密封材料销售。(除依法须经批准的项目外，凭营业执照依法自主开展经营活动)许可项目:建设工程设计:货物进出口;技术进出口. (依法须经批准的项目，经相关部门批准后方可开展经营活动，具体经营项目以审批结果为准)。</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认证范围没有变化，营业执照覆盖认证范围。</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bookmarkStart w:id="0" w:name="审核范围"/>
            <w:r>
              <w:rPr>
                <w:rFonts w:hint="eastAsia" w:ascii="宋体" w:hAnsi="宋体" w:eastAsia="宋体" w:cs="宋体"/>
                <w:sz w:val="24"/>
                <w:szCs w:val="24"/>
                <w:lang w:val="en-US" w:eastAsia="zh-CN"/>
              </w:rPr>
              <w:t>Q：石油仪器仪表、专用工具及配件的设计、生产、销售和技术服务（许可范围内）；计算机软件开发；信息系统集成</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E：石油仪器仪表、石油专用工具及配件的设计、组装、销售和技术服务（许可范围内）；计算机软件开发；信息系统集成所涉及场所的相关环境管理活动</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O：石油仪器仪表、专用工具及配件的设计、生产、销售和技术服务（许可范围内）；计算机软件开发；信息系统集成及相关职业健康安全管理活动</w:t>
            </w:r>
            <w:bookmarkEnd w:id="0"/>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无不适用条款。</w:t>
            </w:r>
          </w:p>
          <w:p>
            <w:pPr>
              <w:adjustRightInd w:val="0"/>
              <w:snapToGrid w:val="0"/>
              <w:spacing w:line="360" w:lineRule="auto"/>
              <w:ind w:right="105" w:rightChars="5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外包情况：机械零件加工。</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质量/环境/职业健康安全管理体系及其过程</w:t>
            </w:r>
          </w:p>
        </w:tc>
        <w:tc>
          <w:tcPr>
            <w:tcW w:w="960"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QEO4.4</w:t>
            </w:r>
          </w:p>
        </w:tc>
        <w:tc>
          <w:tcPr>
            <w:tcW w:w="1000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该公司20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与负责人交流：部门确定了满足与管理体系有关的客户及相关方的要求。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rPr>
                <w:rFonts w:hint="eastAsia" w:ascii="宋体" w:hAnsi="宋体" w:eastAsia="宋体" w:cs="宋体"/>
                <w:sz w:val="24"/>
                <w:szCs w:val="24"/>
              </w:rPr>
            </w:pPr>
            <w:r>
              <w:rPr>
                <w:rFonts w:hint="eastAsia" w:ascii="宋体" w:hAnsi="宋体" w:eastAsia="宋体" w:cs="宋体"/>
                <w:sz w:val="24"/>
                <w:szCs w:val="24"/>
              </w:rPr>
              <w:t>2. 应对风险的措施：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a) 通过供应商的选择和评定来控制风险，选择供应商时考核其资质及其提供合格产品和合格服务的能力，应与客户需求相匹配。</w:t>
            </w:r>
          </w:p>
          <w:p>
            <w:pPr>
              <w:spacing w:line="360" w:lineRule="auto"/>
              <w:rPr>
                <w:rFonts w:hint="eastAsia" w:ascii="宋体" w:hAnsi="宋体" w:eastAsia="宋体" w:cs="宋体"/>
                <w:sz w:val="24"/>
                <w:szCs w:val="24"/>
              </w:rPr>
            </w:pPr>
            <w:r>
              <w:rPr>
                <w:rFonts w:hint="eastAsia" w:ascii="宋体" w:hAnsi="宋体" w:eastAsia="宋体" w:cs="宋体"/>
                <w:sz w:val="24"/>
                <w:szCs w:val="24"/>
              </w:rPr>
              <w:t>b)通过签订客户协议和供应商协议的条款把控风险。从各个方面确保许可范围内的租赁、设计等质量，过程环境影响、危险源管理等，提高客户满意度，同时对风险加以控制。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3.识别进行经营范围内的</w:t>
            </w:r>
            <w:r>
              <w:rPr>
                <w:rFonts w:hint="eastAsia" w:ascii="宋体" w:hAnsi="宋体" w:eastAsia="宋体" w:cs="宋体"/>
                <w:sz w:val="24"/>
                <w:szCs w:val="24"/>
                <w:lang w:eastAsia="zh-CN"/>
              </w:rPr>
              <w:t>石油仪器仪表、专用工具及配件的设计、生产、销售和技术服务（许可范围内）；计算机软件开发；信息系统集成</w:t>
            </w:r>
            <w:r>
              <w:rPr>
                <w:rFonts w:hint="eastAsia" w:ascii="宋体" w:hAnsi="宋体" w:eastAsia="宋体" w:cs="宋体"/>
                <w:sz w:val="24"/>
                <w:szCs w:val="24"/>
              </w:rPr>
              <w:t>风险及具体应对措施，采购的风险，严格供应商评审，选择合格供方，要求其销售能力和产品质量满足客户要求，并严格进行合格供方业绩评价。通过采购合同或协议与</w:t>
            </w:r>
            <w:r>
              <w:rPr>
                <w:rFonts w:hint="eastAsia" w:ascii="宋体" w:hAnsi="宋体" w:eastAsia="宋体" w:cs="宋体"/>
                <w:sz w:val="24"/>
                <w:szCs w:val="24"/>
                <w:lang w:val="en-US" w:eastAsia="zh-CN"/>
              </w:rPr>
              <w:t>服务</w:t>
            </w:r>
            <w:r>
              <w:rPr>
                <w:rFonts w:hint="eastAsia" w:ascii="宋体" w:hAnsi="宋体" w:eastAsia="宋体" w:cs="宋体"/>
                <w:sz w:val="24"/>
                <w:szCs w:val="24"/>
              </w:rPr>
              <w:t>合同或协议的条款匹配来控制风险，产品经检验后交货来控制产品质量的风险。</w:t>
            </w:r>
          </w:p>
          <w:p>
            <w:pPr>
              <w:spacing w:line="360" w:lineRule="auto"/>
              <w:rPr>
                <w:rFonts w:hint="eastAsia" w:ascii="宋体" w:hAnsi="宋体" w:eastAsia="宋体" w:cs="宋体"/>
                <w:sz w:val="24"/>
                <w:szCs w:val="24"/>
              </w:rPr>
            </w:pPr>
            <w:r>
              <w:rPr>
                <w:rFonts w:hint="eastAsia" w:ascii="宋体" w:hAnsi="宋体" w:eastAsia="宋体" w:cs="宋体"/>
                <w:sz w:val="24"/>
                <w:szCs w:val="24"/>
              </w:rPr>
              <w:t>4.通过对经营范围内的</w:t>
            </w:r>
            <w:r>
              <w:rPr>
                <w:rFonts w:hint="eastAsia" w:ascii="宋体" w:hAnsi="宋体" w:eastAsia="宋体" w:cs="宋体"/>
                <w:sz w:val="24"/>
                <w:szCs w:val="24"/>
                <w:lang w:eastAsia="zh-CN"/>
              </w:rPr>
              <w:t>石油仪器仪表、专用工具及配件的设计、生产、销售和技术服务（许可范围内）；计算机软件开发；信息系统集成的风险控制和销售环保、交付等风险控制，在具体操作过程中实施的措施</w:t>
            </w:r>
            <w:r>
              <w:rPr>
                <w:rFonts w:hint="eastAsia" w:ascii="宋体" w:hAnsi="宋体" w:eastAsia="宋体" w:cs="宋体"/>
                <w:sz w:val="24"/>
                <w:szCs w:val="24"/>
              </w:rPr>
              <w:t>，实现了对整个供应链管理的风险控制，为客户提供更全面的经营范围内的</w:t>
            </w:r>
            <w:r>
              <w:rPr>
                <w:rFonts w:hint="eastAsia" w:ascii="宋体" w:hAnsi="宋体" w:eastAsia="宋体" w:cs="宋体"/>
                <w:sz w:val="24"/>
                <w:szCs w:val="24"/>
                <w:lang w:eastAsia="zh-CN"/>
              </w:rPr>
              <w:t>石油仪器仪表、专用工具及配件的设计、生产、销售和技术服务（许可范围内）；计算机软件开发；信息系统集成</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外包情况：</w:t>
            </w:r>
            <w:r>
              <w:rPr>
                <w:rFonts w:hint="eastAsia" w:ascii="宋体" w:hAnsi="宋体" w:eastAsia="宋体" w:cs="宋体"/>
                <w:sz w:val="24"/>
                <w:szCs w:val="24"/>
                <w:lang w:val="en-US" w:eastAsia="zh-CN"/>
              </w:rPr>
              <w:t>零部件加工</w:t>
            </w:r>
            <w:r>
              <w:rPr>
                <w:rFonts w:hint="eastAsia" w:ascii="宋体" w:hAnsi="宋体" w:eastAsia="宋体" w:cs="宋体"/>
                <w:sz w:val="24"/>
                <w:szCs w:val="24"/>
              </w:rPr>
              <w:t>。</w:t>
            </w:r>
          </w:p>
          <w:p>
            <w:pPr>
              <w:pStyle w:val="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1、石油仪器仪表、专用工具及配件的生产研发和销售服务流程：项目立项→研发→生产→机械装配→电路板焊接→电路板老化→总装→调试→检验→交付→售后→实施服务。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2、信息系统集成、计算机应用软件开发流程：方案设计→硬件到货验收→软硬件安装部署→软硬件联调→试运行→交付。</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管理体系从</w:t>
            </w:r>
            <w:r>
              <w:rPr>
                <w:rFonts w:hint="eastAsia" w:ascii="宋体" w:hAnsi="宋体" w:eastAsia="宋体" w:cs="宋体"/>
                <w:sz w:val="24"/>
                <w:szCs w:val="24"/>
                <w:lang w:eastAsia="zh-CN"/>
              </w:rPr>
              <w:t>2020年9月1日</w:t>
            </w:r>
            <w:r>
              <w:rPr>
                <w:rFonts w:hint="eastAsia" w:ascii="宋体" w:hAnsi="宋体" w:eastAsia="宋体" w:cs="宋体"/>
                <w:sz w:val="24"/>
                <w:szCs w:val="24"/>
              </w:rPr>
              <w:t>实施以来，体系运行基本正常，符合要求。</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领导作用与承诺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--总则</w:t>
            </w:r>
          </w:p>
        </w:tc>
        <w:tc>
          <w:tcPr>
            <w:tcW w:w="9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QEO</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5.1.1</w:t>
            </w:r>
          </w:p>
          <w:p>
            <w:pPr>
              <w:spacing w:line="360" w:lineRule="auto"/>
              <w:rPr>
                <w:rFonts w:hint="eastAsia" w:ascii="宋体" w:hAnsi="宋体" w:eastAsia="宋体" w:cs="宋体"/>
                <w:color w:val="auto"/>
                <w:sz w:val="24"/>
                <w:szCs w:val="24"/>
              </w:rPr>
            </w:pPr>
          </w:p>
        </w:tc>
        <w:tc>
          <w:tcPr>
            <w:tcW w:w="10004"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公司总经理</w:t>
            </w:r>
            <w:r>
              <w:rPr>
                <w:rFonts w:hint="eastAsia" w:ascii="宋体" w:hAnsi="宋体" w:eastAsia="宋体" w:cs="宋体"/>
                <w:sz w:val="24"/>
                <w:szCs w:val="24"/>
                <w:lang w:val="en-US" w:eastAsia="zh-CN"/>
              </w:rPr>
              <w:t>兰孟平</w:t>
            </w:r>
            <w:r>
              <w:rPr>
                <w:rFonts w:hint="eastAsia" w:ascii="宋体" w:hAnsi="宋体" w:eastAsia="宋体" w:cs="宋体"/>
                <w:color w:val="auto"/>
                <w:sz w:val="24"/>
                <w:szCs w:val="24"/>
              </w:rPr>
              <w:t>介绍主要承诺有：</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a）对质量、环境、职业健康安全管理体系的有效性承担责任；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b）确保制定质量、环境、职业健康安全管理体系的方针和目标，并确保方针与组织的战略方向和组织所处的环境保持一致以及方针在本公司内得到理解和实施，定期对目标的完成情况进行分析、总结以及改进；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c）确保质量、环境、职业健康安全管理体系要求融入组织的业务过程；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d）促进使用过程方法和基于产品质量、环境因素、危险源和合规义务所需要应对的风险的思维；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e）确保质量、环境、职业健康安全管理体系所需的资源是可用的；</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f）沟通有效的质量、环境和职业健康安全管理和符合质量、环境、职业健康安全管理体系要求的重要性；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g）确保质量、环境、职业健康安全管理体系实现其预期结果；</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h）促进、指导和支持人员为质量、环境、职业健康安全管理体系的有效性做出贡献；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i）推动质量、环境、职业健康安全管理体系的持续改进和创新；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j）支持其他相关管理者在其职责范围内发挥领导作用。</w:t>
            </w:r>
          </w:p>
          <w:p>
            <w:pPr>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以顾客为关注焦点</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Q5.1.2</w:t>
            </w:r>
          </w:p>
          <w:p>
            <w:pPr>
              <w:spacing w:line="360" w:lineRule="auto"/>
              <w:rPr>
                <w:rFonts w:hint="eastAsia" w:ascii="宋体" w:hAnsi="宋体" w:eastAsia="宋体" w:cs="宋体"/>
                <w:sz w:val="24"/>
                <w:szCs w:val="24"/>
              </w:rPr>
            </w:pP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总经理证实其以顾客为关注焦点的领导作用和承诺，通过以下方面实现：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a）确定、理解并持续满足顾客要求以及适用的法律法规要求，</w:t>
            </w:r>
            <w:r>
              <w:rPr>
                <w:rFonts w:hint="eastAsia" w:ascii="宋体" w:hAnsi="宋体" w:eastAsia="宋体" w:cs="宋体"/>
                <w:sz w:val="24"/>
                <w:szCs w:val="24"/>
                <w:lang w:eastAsia="zh-CN"/>
              </w:rPr>
              <w:t>综合管理部</w:t>
            </w:r>
            <w:r>
              <w:rPr>
                <w:rFonts w:hint="eastAsia" w:ascii="宋体" w:hAnsi="宋体" w:eastAsia="宋体" w:cs="宋体"/>
                <w:sz w:val="24"/>
                <w:szCs w:val="24"/>
              </w:rPr>
              <w:t>编制适用的与</w:t>
            </w:r>
            <w:r>
              <w:rPr>
                <w:rFonts w:hint="eastAsia" w:ascii="宋体" w:hAnsi="宋体" w:eastAsia="宋体" w:cs="宋体"/>
                <w:sz w:val="24"/>
                <w:szCs w:val="24"/>
                <w:lang w:eastAsia="zh-CN"/>
              </w:rPr>
              <w:t>石油仪器仪表、专用工具及配件的设计、生产、销售和技术服务（许可范围内）；计算机软件开发；信息系统集成</w:t>
            </w:r>
            <w:r>
              <w:rPr>
                <w:rFonts w:hint="eastAsia" w:ascii="宋体" w:hAnsi="宋体" w:eastAsia="宋体" w:cs="宋体"/>
                <w:sz w:val="24"/>
                <w:szCs w:val="24"/>
              </w:rPr>
              <w:t>有关的法律、法规清单。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b）确定和应对能够影响产品、服务符合性以及增强顾客满意能力的风险和机遇；</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c）始终致力于增强顾客满意。</w:t>
            </w:r>
            <w:r>
              <w:rPr>
                <w:rFonts w:hint="eastAsia" w:ascii="宋体" w:hAnsi="宋体" w:eastAsia="宋体" w:cs="宋体"/>
                <w:sz w:val="24"/>
                <w:szCs w:val="24"/>
              </w:rPr>
              <w:br w:type="textWrapping"/>
            </w:r>
            <w:r>
              <w:rPr>
                <w:rFonts w:hint="eastAsia" w:ascii="宋体" w:hAnsi="宋体" w:eastAsia="宋体" w:cs="宋体"/>
                <w:sz w:val="24"/>
                <w:szCs w:val="24"/>
              </w:rPr>
              <w:t>详见审核Q9.1.2条款记录。</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方针</w:t>
            </w:r>
          </w:p>
          <w:p>
            <w:pPr>
              <w:spacing w:line="360" w:lineRule="auto"/>
              <w:rPr>
                <w:rFonts w:hint="eastAsia" w:ascii="宋体" w:hAnsi="宋体" w:eastAsia="宋体" w:cs="宋体"/>
                <w:sz w:val="24"/>
                <w:szCs w:val="24"/>
              </w:rPr>
            </w:pPr>
            <w:r>
              <w:rPr>
                <w:rFonts w:hint="eastAsia" w:ascii="宋体" w:hAnsi="宋体" w:eastAsia="宋体" w:cs="宋体"/>
                <w:sz w:val="24"/>
                <w:szCs w:val="24"/>
              </w:rPr>
              <w:t>制定方针</w:t>
            </w:r>
          </w:p>
          <w:p>
            <w:pPr>
              <w:spacing w:line="360" w:lineRule="auto"/>
              <w:rPr>
                <w:rFonts w:hint="eastAsia" w:ascii="宋体" w:hAnsi="宋体" w:eastAsia="宋体" w:cs="宋体"/>
                <w:sz w:val="24"/>
                <w:szCs w:val="24"/>
              </w:rPr>
            </w:pPr>
            <w:r>
              <w:rPr>
                <w:rFonts w:hint="eastAsia" w:ascii="宋体" w:hAnsi="宋体" w:eastAsia="宋体" w:cs="宋体"/>
                <w:sz w:val="24"/>
                <w:szCs w:val="24"/>
              </w:rPr>
              <w:t>沟通方针</w:t>
            </w:r>
          </w:p>
        </w:tc>
        <w:tc>
          <w:tcPr>
            <w:tcW w:w="960"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QEO5.2</w:t>
            </w: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该公司管理方针：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质量、环境、职业健康安全方针：质量精益求精，服务及时周到；实现污染预防，注重节能降耗；及时消除隐患，保障健康安全；遵守法律法规，坚持持续改进。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总经理用会议、文件等手段保证管理方针为全体员工理解并落实到工作中。总经理说管理评审时对方针的持续适宜性进行了评审，有评审记录。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以上管理方针通过文件、培训等形式将公司管理方针传达给所有为公司工作或代表公司的人员，相关方也可通过</w:t>
            </w:r>
            <w:r>
              <w:rPr>
                <w:rFonts w:hint="eastAsia" w:ascii="宋体" w:hAnsi="宋体" w:eastAsia="宋体" w:cs="宋体"/>
                <w:sz w:val="24"/>
                <w:szCs w:val="24"/>
                <w:lang w:eastAsia="zh-CN"/>
              </w:rPr>
              <w:t>综合管理部</w:t>
            </w:r>
            <w:r>
              <w:rPr>
                <w:rFonts w:hint="eastAsia" w:ascii="宋体" w:hAnsi="宋体" w:eastAsia="宋体" w:cs="宋体"/>
                <w:sz w:val="24"/>
                <w:szCs w:val="24"/>
              </w:rPr>
              <w:t>获取公司管理方针。</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QEO5.3</w:t>
            </w: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ascii="宋体" w:hAnsi="宋体" w:eastAsia="宋体" w:cs="宋体"/>
                <w:color w:val="000000"/>
                <w:sz w:val="24"/>
                <w:szCs w:val="24"/>
                <w:lang w:eastAsia="zh-CN"/>
              </w:rPr>
              <w:t>综合管理部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生产技术部</w:t>
            </w:r>
            <w:r>
              <w:rPr>
                <w:rFonts w:hint="eastAsia" w:ascii="宋体" w:hAnsi="宋体" w:eastAsia="宋体" w:cs="宋体"/>
                <w:sz w:val="24"/>
                <w:szCs w:val="24"/>
              </w:rPr>
              <w:t>，并对各部门的职能进行了分配和规定。职业健康安全管理事务代表任命为</w:t>
            </w:r>
            <w:r>
              <w:rPr>
                <w:rFonts w:hint="eastAsia" w:ascii="宋体" w:hAnsi="宋体" w:eastAsia="宋体" w:cs="宋体"/>
                <w:sz w:val="24"/>
                <w:szCs w:val="24"/>
                <w:lang w:val="en-US" w:eastAsia="zh-CN"/>
              </w:rPr>
              <w:t>张诗睿</w:t>
            </w:r>
            <w:r>
              <w:rPr>
                <w:rFonts w:hint="eastAsia" w:ascii="宋体" w:hAnsi="宋体" w:eastAsia="宋体" w:cs="宋体"/>
                <w:sz w:val="24"/>
                <w:szCs w:val="24"/>
              </w:rPr>
              <w:t>，公司对履行事务代表以及非管理类工作人员的协商与参与职责进行了规定。公司决定任命</w:t>
            </w:r>
            <w:r>
              <w:rPr>
                <w:rFonts w:hint="eastAsia" w:ascii="宋体" w:hAnsi="宋体" w:eastAsia="宋体" w:cs="宋体"/>
                <w:sz w:val="24"/>
                <w:szCs w:val="24"/>
                <w:lang w:val="en-US" w:eastAsia="zh-CN"/>
              </w:rPr>
              <w:t>李希孝</w:t>
            </w:r>
            <w:r>
              <w:rPr>
                <w:rFonts w:hint="eastAsia" w:ascii="宋体" w:hAnsi="宋体" w:eastAsia="宋体" w:cs="宋体"/>
                <w:sz w:val="24"/>
                <w:szCs w:val="24"/>
              </w:rPr>
              <w:t>为管理体系的管理者代表。对其职责和权限规定如下：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询问管代</w:t>
            </w:r>
            <w:r>
              <w:rPr>
                <w:rFonts w:hint="eastAsia" w:ascii="宋体" w:hAnsi="宋体" w:eastAsia="宋体" w:cs="宋体"/>
                <w:sz w:val="24"/>
                <w:szCs w:val="24"/>
                <w:lang w:val="en-US" w:eastAsia="zh-CN"/>
              </w:rPr>
              <w:t>李希孝</w:t>
            </w:r>
            <w:r>
              <w:rPr>
                <w:rFonts w:hint="eastAsia" w:ascii="宋体" w:hAnsi="宋体" w:eastAsia="宋体" w:cs="宋体"/>
                <w:sz w:val="24"/>
                <w:szCs w:val="24"/>
              </w:rPr>
              <w:t>和职业健康安全事务代表</w:t>
            </w:r>
            <w:r>
              <w:rPr>
                <w:rFonts w:hint="eastAsia" w:ascii="宋体" w:hAnsi="宋体" w:eastAsia="宋体" w:cs="宋体"/>
                <w:sz w:val="24"/>
                <w:szCs w:val="24"/>
                <w:lang w:val="en-US" w:eastAsia="zh-CN"/>
              </w:rPr>
              <w:t>张诗睿</w:t>
            </w:r>
            <w:r>
              <w:rPr>
                <w:rFonts w:hint="eastAsia" w:ascii="宋体" w:hAnsi="宋体" w:eastAsia="宋体" w:cs="宋体"/>
                <w:sz w:val="24"/>
                <w:szCs w:val="24"/>
              </w:rPr>
              <w:t>职责回答正确。</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pacing w:val="-6"/>
                <w:sz w:val="24"/>
                <w:szCs w:val="24"/>
              </w:rPr>
              <w:t>工作人员的协商和参与</w:t>
            </w: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O</w:t>
            </w:r>
            <w:r>
              <w:rPr>
                <w:rFonts w:hint="eastAsia" w:ascii="宋体" w:hAnsi="宋体" w:eastAsia="宋体" w:cs="宋体"/>
                <w:sz w:val="24"/>
                <w:szCs w:val="24"/>
              </w:rPr>
              <w:t>5.4</w:t>
            </w: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职业健康安全管理事务代表任命为</w:t>
            </w:r>
            <w:r>
              <w:rPr>
                <w:rFonts w:hint="eastAsia" w:ascii="宋体" w:hAnsi="宋体" w:eastAsia="宋体" w:cs="宋体"/>
                <w:sz w:val="24"/>
                <w:szCs w:val="24"/>
                <w:lang w:val="en-US" w:eastAsia="zh-CN"/>
              </w:rPr>
              <w:t>张诗睿</w:t>
            </w:r>
            <w:r>
              <w:rPr>
                <w:rFonts w:hint="eastAsia" w:ascii="宋体" w:hAnsi="宋体" w:eastAsia="宋体" w:cs="宋体"/>
                <w:sz w:val="24"/>
                <w:szCs w:val="24"/>
              </w:rPr>
              <w:t>，公司对履行事务代表以及非管理类工作人员的协商与参与职责进行了规定。</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Align w:val="top"/>
          </w:tcPr>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应对风险和机遇的措施</w:t>
            </w:r>
          </w:p>
          <w:p>
            <w:pPr>
              <w:spacing w:line="280" w:lineRule="exact"/>
              <w:rPr>
                <w:rFonts w:hint="eastAsia" w:ascii="宋体" w:hAnsi="宋体" w:eastAsia="宋体" w:cs="宋体"/>
                <w:spacing w:val="-6"/>
                <w:sz w:val="24"/>
                <w:szCs w:val="24"/>
              </w:rPr>
            </w:pPr>
          </w:p>
        </w:tc>
        <w:tc>
          <w:tcPr>
            <w:tcW w:w="960" w:type="dxa"/>
            <w:vAlign w:val="top"/>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Q6.1</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EO6.1.1</w:t>
            </w:r>
          </w:p>
          <w:p>
            <w:pPr>
              <w:spacing w:line="280" w:lineRule="exact"/>
              <w:rPr>
                <w:rFonts w:hint="eastAsia" w:ascii="宋体" w:hAnsi="宋体" w:eastAsia="宋体" w:cs="宋体"/>
                <w:sz w:val="24"/>
                <w:szCs w:val="24"/>
              </w:rPr>
            </w:pPr>
          </w:p>
          <w:p>
            <w:pPr>
              <w:spacing w:line="280" w:lineRule="exact"/>
              <w:rPr>
                <w:rFonts w:hint="eastAsia" w:ascii="宋体" w:hAnsi="宋体" w:eastAsia="宋体" w:cs="宋体"/>
                <w:spacing w:val="-6"/>
                <w:sz w:val="24"/>
                <w:szCs w:val="24"/>
                <w:lang w:val="en-US" w:eastAsia="zh-CN"/>
              </w:rPr>
            </w:pP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Align w:val="top"/>
          </w:tcPr>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措施的策划</w:t>
            </w:r>
          </w:p>
          <w:p>
            <w:pPr>
              <w:spacing w:line="360" w:lineRule="auto"/>
              <w:ind w:firstLine="480" w:firstLineChars="200"/>
              <w:rPr>
                <w:rFonts w:hint="eastAsia" w:ascii="宋体" w:hAnsi="宋体" w:eastAsia="宋体" w:cs="宋体"/>
                <w:sz w:val="24"/>
                <w:szCs w:val="24"/>
              </w:rPr>
            </w:pPr>
          </w:p>
        </w:tc>
        <w:tc>
          <w:tcPr>
            <w:tcW w:w="9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EO6.1.4</w:t>
            </w:r>
          </w:p>
          <w:p>
            <w:pPr>
              <w:spacing w:line="360" w:lineRule="auto"/>
              <w:ind w:firstLine="480" w:firstLineChars="200"/>
              <w:rPr>
                <w:rFonts w:hint="eastAsia" w:ascii="宋体" w:hAnsi="宋体" w:eastAsia="宋体" w:cs="宋体"/>
                <w:sz w:val="24"/>
                <w:szCs w:val="24"/>
                <w:lang w:val="en-US" w:eastAsia="zh-CN"/>
              </w:rPr>
            </w:pP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在策划应对风险和机遇的措施时，综合</w:t>
            </w:r>
            <w:r>
              <w:rPr>
                <w:rFonts w:hint="eastAsia" w:ascii="宋体" w:hAnsi="宋体" w:eastAsia="宋体" w:cs="宋体"/>
                <w:sz w:val="24"/>
                <w:szCs w:val="24"/>
                <w:lang w:val="en-US" w:eastAsia="zh-CN"/>
              </w:rPr>
              <w:t>管理部</w:t>
            </w:r>
            <w:r>
              <w:rPr>
                <w:rFonts w:hint="eastAsia" w:ascii="宋体" w:hAnsi="宋体" w:eastAsia="宋体" w:cs="宋体"/>
                <w:sz w:val="24"/>
                <w:szCs w:val="24"/>
              </w:rPr>
              <w:t>考虑了企业所处的环境、重要环境因素、合规义务，以及面对的风险和机遇，制定了环境、职业健康安全目标及管理方案，总经理田雅芹 负责批准。环境、职业健康安全管理方案中明确为实现环境、职业健康安全目标和指标的责任部门；规定实现环境、职业健康安全目标和指标的时间；具体措施和经费预算；都由总经理批准。环境、职业健康安全管理方案的实施，综合</w:t>
            </w:r>
            <w:r>
              <w:rPr>
                <w:rFonts w:hint="eastAsia" w:ascii="宋体" w:hAnsi="宋体" w:eastAsia="宋体" w:cs="宋体"/>
                <w:sz w:val="24"/>
                <w:szCs w:val="24"/>
                <w:lang w:val="en-US" w:eastAsia="zh-CN"/>
              </w:rPr>
              <w:t>管理部</w:t>
            </w:r>
            <w:r>
              <w:rPr>
                <w:rFonts w:hint="eastAsia" w:ascii="宋体" w:hAnsi="宋体" w:eastAsia="宋体" w:cs="宋体"/>
                <w:sz w:val="24"/>
                <w:szCs w:val="24"/>
              </w:rPr>
              <w:t>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管理目标及其实现的策划</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QEO6.2</w:t>
            </w:r>
          </w:p>
        </w:tc>
        <w:tc>
          <w:tcPr>
            <w:tcW w:w="10004" w:type="dxa"/>
            <w:vAlign w:val="center"/>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公司对管理体系所需的相关职能、层次和过程设定管理目标。</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公司管理目标及实现情况是：</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成品一次检验合格率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研发合格率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项目服务合格率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顾客满意度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95分以上</w:t>
            </w:r>
            <w:r>
              <w:rPr>
                <w:rFonts w:hint="eastAsia" w:ascii="宋体" w:hAnsi="宋体" w:eastAsia="宋体" w:cs="宋体"/>
                <w:sz w:val="24"/>
                <w:szCs w:val="24"/>
              </w:rPr>
              <w:tab/>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固体废物</w:t>
            </w:r>
            <w:r>
              <w:rPr>
                <w:rFonts w:hint="eastAsia" w:ascii="宋体" w:hAnsi="宋体" w:eastAsia="宋体" w:cs="宋体"/>
                <w:sz w:val="24"/>
                <w:szCs w:val="24"/>
              </w:rPr>
              <w:t>统一收集处理率100%</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杜绝重伤、死亡事件； </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重伤、死亡事件为零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杜绝火灾事件</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火灾事件为零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杜绝机械伤害、触电事故。</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机械伤害、触电事故为零；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目标可测量，与公司管理方针一致。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具体由</w:t>
            </w:r>
            <w:r>
              <w:rPr>
                <w:rFonts w:hint="eastAsia" w:ascii="宋体" w:hAnsi="宋体" w:eastAsia="宋体" w:cs="宋体"/>
                <w:sz w:val="24"/>
                <w:szCs w:val="24"/>
                <w:lang w:eastAsia="zh-CN"/>
              </w:rPr>
              <w:t>综合管理部</w:t>
            </w:r>
            <w:r>
              <w:rPr>
                <w:rFonts w:hint="eastAsia" w:ascii="宋体" w:hAnsi="宋体" w:eastAsia="宋体" w:cs="宋体"/>
                <w:sz w:val="24"/>
                <w:szCs w:val="24"/>
              </w:rPr>
              <w:t>按公司管理目标考核要求统计考核公司管理目标完成情况，提交管理评审会议。查到202</w:t>
            </w:r>
            <w:r>
              <w:rPr>
                <w:rFonts w:hint="eastAsia" w:ascii="宋体" w:hAnsi="宋体" w:eastAsia="宋体" w:cs="宋体"/>
                <w:sz w:val="24"/>
                <w:szCs w:val="24"/>
                <w:lang w:val="en-US" w:eastAsia="zh-CN"/>
              </w:rPr>
              <w:t>1</w:t>
            </w:r>
            <w:r>
              <w:rPr>
                <w:rFonts w:hint="eastAsia" w:ascii="宋体" w:hAnsi="宋体" w:eastAsia="宋体" w:cs="宋体"/>
                <w:sz w:val="24"/>
                <w:szCs w:val="24"/>
              </w:rPr>
              <w:t>年公司管理目标完成情况，各项目标均已完成。</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针对重要环境因素、不可接受风险制订了管理方案并予以实施，基本有效，详见审核</w:t>
            </w:r>
            <w:r>
              <w:rPr>
                <w:rFonts w:hint="eastAsia" w:ascii="宋体" w:hAnsi="宋体" w:eastAsia="宋体" w:cs="宋体"/>
                <w:color w:val="000000"/>
                <w:sz w:val="24"/>
                <w:szCs w:val="24"/>
                <w:lang w:val="en-US" w:eastAsia="zh-CN"/>
              </w:rPr>
              <w:t>生产技术部</w:t>
            </w:r>
            <w:r>
              <w:rPr>
                <w:rFonts w:hint="eastAsia" w:ascii="宋体" w:hAnsi="宋体" w:eastAsia="宋体" w:cs="宋体"/>
                <w:sz w:val="24"/>
                <w:szCs w:val="24"/>
              </w:rPr>
              <w:t>、</w:t>
            </w:r>
            <w:r>
              <w:rPr>
                <w:rFonts w:hint="eastAsia" w:ascii="宋体" w:hAnsi="宋体" w:eastAsia="宋体" w:cs="宋体"/>
                <w:sz w:val="24"/>
                <w:szCs w:val="24"/>
                <w:lang w:eastAsia="zh-CN"/>
              </w:rPr>
              <w:t>综合管理部</w:t>
            </w:r>
            <w:r>
              <w:rPr>
                <w:rFonts w:hint="eastAsia" w:ascii="宋体" w:hAnsi="宋体" w:eastAsia="宋体" w:cs="宋体"/>
                <w:sz w:val="24"/>
                <w:szCs w:val="24"/>
              </w:rPr>
              <w:t>该条款记录。</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变更的策划</w:t>
            </w: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Q6.3</w:t>
            </w: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在《管理手册》中明确“变更的策划”的要求。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当组织确定需要对管理体系进行变更时，变更应按所策划的方式实施组织应考虑4个方面要求。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管理体系从</w:t>
            </w:r>
            <w:r>
              <w:rPr>
                <w:rFonts w:hint="eastAsia" w:ascii="宋体" w:hAnsi="宋体" w:eastAsia="宋体" w:cs="宋体"/>
                <w:sz w:val="24"/>
                <w:szCs w:val="24"/>
                <w:lang w:eastAsia="zh-CN"/>
              </w:rPr>
              <w:t>2020年9月1日</w:t>
            </w:r>
            <w:r>
              <w:rPr>
                <w:rFonts w:hint="eastAsia" w:ascii="宋体" w:hAnsi="宋体" w:eastAsia="宋体" w:cs="宋体"/>
                <w:sz w:val="24"/>
                <w:szCs w:val="24"/>
              </w:rPr>
              <w:t>实施以来无涉及变更。</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资源、总则</w:t>
            </w: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Q7.1.1</w:t>
            </w:r>
          </w:p>
          <w:p>
            <w:pPr>
              <w:spacing w:line="360" w:lineRule="auto"/>
              <w:rPr>
                <w:rFonts w:hint="eastAsia" w:ascii="宋体" w:hAnsi="宋体" w:eastAsia="宋体" w:cs="宋体"/>
                <w:sz w:val="24"/>
                <w:szCs w:val="24"/>
              </w:rPr>
            </w:pPr>
            <w:r>
              <w:rPr>
                <w:rFonts w:hint="eastAsia" w:ascii="宋体" w:hAnsi="宋体" w:eastAsia="宋体" w:cs="宋体"/>
                <w:sz w:val="24"/>
                <w:szCs w:val="24"/>
              </w:rPr>
              <w:t>EO7.1</w:t>
            </w: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在《管理手册》中明确“资源/总则”的要求。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总经理/体系负责人介绍及</w:t>
            </w:r>
            <w:r>
              <w:rPr>
                <w:rFonts w:hint="eastAsia" w:ascii="宋体" w:hAnsi="宋体" w:eastAsia="宋体" w:cs="宋体"/>
                <w:sz w:val="24"/>
                <w:szCs w:val="24"/>
                <w:lang w:val="en-US" w:eastAsia="zh-CN"/>
              </w:rPr>
              <w:t>远程</w:t>
            </w:r>
            <w:r>
              <w:rPr>
                <w:rFonts w:hint="eastAsia" w:ascii="宋体" w:hAnsi="宋体" w:eastAsia="宋体" w:cs="宋体"/>
                <w:sz w:val="24"/>
                <w:szCs w:val="24"/>
              </w:rPr>
              <w:t>观察：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覆盖产品/服务/活动及体系运行所需的资源，主要有：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总共员工</w:t>
            </w:r>
            <w:r>
              <w:rPr>
                <w:rFonts w:hint="eastAsia" w:ascii="宋体" w:hAnsi="宋体" w:eastAsia="宋体" w:cs="宋体"/>
                <w:sz w:val="24"/>
                <w:szCs w:val="24"/>
                <w:lang w:val="en-US" w:eastAsia="zh-CN"/>
              </w:rPr>
              <w:t>65</w:t>
            </w:r>
            <w:r>
              <w:rPr>
                <w:rFonts w:hint="eastAsia" w:ascii="宋体" w:hAnsi="宋体" w:eastAsia="宋体" w:cs="宋体"/>
                <w:sz w:val="24"/>
                <w:szCs w:val="24"/>
              </w:rPr>
              <w:t>人，具备</w:t>
            </w:r>
            <w:r>
              <w:rPr>
                <w:rFonts w:hint="eastAsia" w:ascii="宋体" w:hAnsi="宋体" w:eastAsia="宋体" w:cs="宋体"/>
                <w:sz w:val="24"/>
                <w:szCs w:val="24"/>
                <w:lang w:eastAsia="zh-CN"/>
              </w:rPr>
              <w:t>石油仪器仪表、专用工具及配件的设计、生产、销售和技术服务（许可范围内）；计算机软件开发；信息系统集成</w:t>
            </w:r>
            <w:r>
              <w:rPr>
                <w:rFonts w:hint="eastAsia" w:ascii="宋体" w:hAnsi="宋体" w:eastAsia="宋体" w:cs="宋体"/>
                <w:sz w:val="24"/>
                <w:szCs w:val="24"/>
              </w:rPr>
              <w:t>能力，</w:t>
            </w:r>
            <w:r>
              <w:rPr>
                <w:rFonts w:hint="eastAsia" w:ascii="宋体" w:hAnsi="宋体" w:eastAsia="宋体" w:cs="宋体"/>
                <w:sz w:val="24"/>
                <w:szCs w:val="24"/>
                <w:lang w:val="en-US" w:eastAsia="zh-CN"/>
              </w:rPr>
              <w:t>厂房和办公区</w:t>
            </w:r>
            <w:r>
              <w:rPr>
                <w:rFonts w:hint="eastAsia" w:ascii="宋体" w:hAnsi="宋体" w:eastAsia="宋体" w:cs="宋体"/>
                <w:sz w:val="24"/>
                <w:szCs w:val="24"/>
              </w:rPr>
              <w:t>占地面积约</w:t>
            </w:r>
            <w:r>
              <w:rPr>
                <w:rFonts w:hint="eastAsia" w:ascii="宋体" w:hAnsi="宋体" w:eastAsia="宋体" w:cs="宋体"/>
                <w:sz w:val="24"/>
                <w:szCs w:val="24"/>
                <w:lang w:val="en-US" w:eastAsia="zh-CN"/>
              </w:rPr>
              <w:t>1284</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意识</w:t>
            </w:r>
          </w:p>
          <w:p>
            <w:pPr>
              <w:spacing w:line="360" w:lineRule="auto"/>
              <w:rPr>
                <w:rFonts w:hint="eastAsia" w:ascii="宋体" w:hAnsi="宋体" w:eastAsia="宋体" w:cs="宋体"/>
                <w:b/>
                <w:kern w:val="2"/>
                <w:sz w:val="24"/>
                <w:szCs w:val="24"/>
                <w:lang w:val="en-US" w:eastAsia="zh-CN" w:bidi="ar-SA"/>
              </w:rPr>
            </w:pPr>
          </w:p>
        </w:tc>
        <w:tc>
          <w:tcPr>
            <w:tcW w:w="960" w:type="dxa"/>
            <w:vAlign w:val="top"/>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QE7.3</w:t>
            </w:r>
          </w:p>
          <w:p>
            <w:pPr>
              <w:spacing w:line="360" w:lineRule="auto"/>
              <w:rPr>
                <w:rFonts w:hint="eastAsia" w:ascii="宋体" w:hAnsi="宋体" w:eastAsia="宋体" w:cs="宋体"/>
                <w:b/>
                <w:kern w:val="2"/>
                <w:sz w:val="24"/>
                <w:szCs w:val="24"/>
                <w:lang w:val="en-US" w:eastAsia="zh-CN" w:bidi="ar-SA"/>
              </w:rPr>
            </w:pP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80" w:firstLineChars="200"/>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询问</w:t>
            </w:r>
            <w:r>
              <w:rPr>
                <w:rFonts w:hint="eastAsia" w:ascii="宋体" w:hAnsi="宋体" w:eastAsia="宋体" w:cs="宋体"/>
                <w:sz w:val="24"/>
                <w:szCs w:val="24"/>
                <w:lang w:eastAsia="zh-CN"/>
              </w:rPr>
              <w:t>综合管理部薛宇航</w:t>
            </w:r>
            <w:r>
              <w:rPr>
                <w:rFonts w:hint="eastAsia" w:ascii="宋体" w:hAnsi="宋体" w:eastAsia="宋体" w:cs="宋体"/>
                <w:sz w:val="24"/>
                <w:szCs w:val="24"/>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4"/>
                <w:szCs w:val="24"/>
                <w:u w:val="none"/>
              </w:rPr>
            </w:pP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沟通</w:t>
            </w:r>
          </w:p>
          <w:p>
            <w:pPr>
              <w:spacing w:line="360" w:lineRule="auto"/>
              <w:rPr>
                <w:rFonts w:hint="eastAsia" w:ascii="宋体" w:hAnsi="宋体" w:eastAsia="宋体" w:cs="宋体"/>
                <w:sz w:val="24"/>
                <w:szCs w:val="24"/>
                <w:u w:val="none"/>
              </w:rPr>
            </w:pPr>
          </w:p>
        </w:tc>
        <w:tc>
          <w:tcPr>
            <w:tcW w:w="960" w:type="dxa"/>
          </w:tcPr>
          <w:p>
            <w:pPr>
              <w:spacing w:line="280" w:lineRule="exact"/>
              <w:rPr>
                <w:rFonts w:hint="eastAsia" w:ascii="宋体" w:hAnsi="宋体" w:eastAsia="宋体" w:cs="宋体"/>
                <w:kern w:val="0"/>
                <w:sz w:val="24"/>
                <w:szCs w:val="24"/>
              </w:rPr>
            </w:pPr>
          </w:p>
          <w:p>
            <w:pPr>
              <w:spacing w:line="280" w:lineRule="exact"/>
              <w:rPr>
                <w:rFonts w:hint="eastAsia" w:ascii="宋体" w:hAnsi="宋体" w:eastAsia="宋体" w:cs="宋体"/>
                <w:kern w:val="0"/>
                <w:sz w:val="24"/>
                <w:szCs w:val="24"/>
              </w:rPr>
            </w:pPr>
          </w:p>
          <w:p>
            <w:pPr>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QEO7.4</w:t>
            </w:r>
          </w:p>
          <w:p>
            <w:pPr>
              <w:spacing w:line="360" w:lineRule="auto"/>
              <w:rPr>
                <w:rFonts w:hint="eastAsia" w:ascii="宋体" w:hAnsi="宋体" w:eastAsia="宋体" w:cs="宋体"/>
                <w:sz w:val="24"/>
                <w:szCs w:val="24"/>
                <w:u w:val="none"/>
                <w:lang w:val="en-US" w:eastAsia="zh-CN"/>
              </w:rPr>
            </w:pPr>
          </w:p>
        </w:tc>
        <w:tc>
          <w:tcPr>
            <w:tcW w:w="10004" w:type="dxa"/>
            <w:vAlign w:val="center"/>
          </w:tcPr>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公司编制并实施了《信息交流</w:t>
            </w:r>
            <w:r>
              <w:rPr>
                <w:rFonts w:hint="eastAsia" w:ascii="宋体" w:hAnsi="宋体" w:eastAsia="宋体" w:cs="宋体"/>
                <w:sz w:val="24"/>
                <w:szCs w:val="24"/>
                <w:u w:val="none"/>
                <w:lang w:val="en-US" w:eastAsia="zh-CN"/>
              </w:rPr>
              <w:t>控制</w:t>
            </w:r>
            <w:r>
              <w:rPr>
                <w:rFonts w:hint="eastAsia" w:ascii="宋体" w:hAnsi="宋体" w:eastAsia="宋体" w:cs="宋体"/>
                <w:sz w:val="24"/>
                <w:szCs w:val="24"/>
                <w:u w:val="none"/>
              </w:rPr>
              <w:t>程序》，规定了职责、工作流程，包括内部沟通和外部沟通的方法和要求。</w:t>
            </w:r>
          </w:p>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外部交流：通过发放《相关方环境及职业健康安全告知书》与相关方就相关环境、职业健康安全信息进行相互沟通。</w:t>
            </w:r>
          </w:p>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审核周期内未发生因沟通不善造成的的问题。</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绩效 总则</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Q9.1.1</w:t>
            </w:r>
          </w:p>
          <w:p>
            <w:pPr>
              <w:spacing w:line="360" w:lineRule="auto"/>
              <w:rPr>
                <w:rFonts w:hint="eastAsia" w:ascii="宋体" w:hAnsi="宋体" w:eastAsia="宋体" w:cs="宋体"/>
                <w:color w:val="000000"/>
                <w:kern w:val="0"/>
                <w:sz w:val="24"/>
                <w:szCs w:val="24"/>
                <w:lang w:val="en-US" w:eastAsia="zh-CN" w:bidi="ar-SA"/>
              </w:rPr>
            </w:pPr>
          </w:p>
        </w:tc>
        <w:tc>
          <w:tcPr>
            <w:tcW w:w="10004"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综合管理部</w:t>
            </w:r>
            <w:r>
              <w:rPr>
                <w:rFonts w:hint="eastAsia" w:ascii="宋体" w:hAnsi="宋体" w:eastAsia="宋体" w:cs="宋体"/>
                <w:sz w:val="24"/>
                <w:szCs w:val="24"/>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eastAsia="宋体" w:cs="宋体"/>
                <w:sz w:val="24"/>
                <w:szCs w:val="24"/>
                <w:lang w:val="en-US" w:eastAsia="zh-CN"/>
              </w:rPr>
              <w:t>3</w:t>
            </w:r>
            <w:r>
              <w:rPr>
                <w:rFonts w:hint="eastAsia" w:ascii="宋体" w:hAnsi="宋体" w:eastAsia="宋体" w:cs="宋体"/>
                <w:sz w:val="24"/>
                <w:szCs w:val="24"/>
              </w:rPr>
              <w:t>条款记录；通过目标考评，监测管理体系运行的有效性，提供了202</w:t>
            </w:r>
            <w:r>
              <w:rPr>
                <w:rFonts w:hint="eastAsia" w:ascii="宋体" w:hAnsi="宋体" w:cs="宋体"/>
                <w:sz w:val="24"/>
                <w:szCs w:val="24"/>
                <w:lang w:val="en-US" w:eastAsia="zh-CN"/>
              </w:rPr>
              <w:t>1</w:t>
            </w:r>
            <w:r>
              <w:rPr>
                <w:rFonts w:hint="eastAsia" w:ascii="宋体" w:hAnsi="宋体" w:eastAsia="宋体" w:cs="宋体"/>
                <w:sz w:val="24"/>
                <w:szCs w:val="24"/>
              </w:rPr>
              <w:t>年度的目标完成情况，公司及各部门的管理目标均能完成。</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管理评审</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QEO9.3</w:t>
            </w: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提供：</w:t>
            </w:r>
          </w:p>
          <w:p>
            <w:pPr>
              <w:spacing w:line="360" w:lineRule="auto"/>
              <w:rPr>
                <w:rFonts w:hint="eastAsia" w:ascii="宋体" w:hAnsi="宋体" w:eastAsia="宋体" w:cs="宋体"/>
                <w:sz w:val="24"/>
                <w:szCs w:val="24"/>
              </w:rPr>
            </w:pPr>
            <w:r>
              <w:rPr>
                <w:rFonts w:hint="eastAsia" w:ascii="宋体" w:hAnsi="宋体" w:eastAsia="宋体" w:cs="宋体"/>
                <w:sz w:val="24"/>
                <w:szCs w:val="24"/>
              </w:rPr>
              <w:t>1.管理评审计划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评审时间：计划202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日进行，初审无间隔要求，评审方式：会议评审，编制：</w:t>
            </w:r>
            <w:r>
              <w:rPr>
                <w:rFonts w:hint="eastAsia" w:ascii="宋体" w:hAnsi="宋体" w:eastAsia="宋体" w:cs="宋体"/>
                <w:sz w:val="24"/>
                <w:szCs w:val="24"/>
                <w:lang w:val="en-US" w:eastAsia="zh-CN"/>
              </w:rPr>
              <w:t>李希孝</w:t>
            </w:r>
            <w:r>
              <w:rPr>
                <w:rFonts w:hint="eastAsia" w:ascii="宋体" w:hAnsi="宋体" w:eastAsia="宋体" w:cs="宋体"/>
                <w:sz w:val="24"/>
                <w:szCs w:val="24"/>
              </w:rPr>
              <w:t xml:space="preserve">  批准：</w:t>
            </w:r>
            <w:r>
              <w:rPr>
                <w:rFonts w:hint="eastAsia" w:ascii="宋体" w:hAnsi="宋体" w:eastAsia="宋体" w:cs="宋体"/>
                <w:sz w:val="24"/>
                <w:szCs w:val="24"/>
                <w:lang w:val="en-US" w:eastAsia="zh-CN"/>
              </w:rPr>
              <w:t>兰孟平</w:t>
            </w:r>
            <w:r>
              <w:rPr>
                <w:rFonts w:hint="eastAsia" w:ascii="宋体" w:hAnsi="宋体" w:eastAsia="宋体" w:cs="宋体"/>
                <w:sz w:val="24"/>
                <w:szCs w:val="24"/>
              </w:rPr>
              <w:t>，编制时间为</w:t>
            </w:r>
            <w:r>
              <w:rPr>
                <w:rFonts w:hint="eastAsia" w:ascii="宋体" w:hAnsi="宋体" w:eastAsia="宋体" w:cs="宋体"/>
                <w:sz w:val="24"/>
                <w:szCs w:val="24"/>
                <w:lang w:val="en-US" w:eastAsia="zh-CN"/>
              </w:rPr>
              <w:t>12</w:t>
            </w:r>
            <w:r>
              <w:rPr>
                <w:rFonts w:hint="eastAsia" w:ascii="宋体" w:hAnsi="宋体" w:eastAsia="宋体" w:cs="宋体"/>
                <w:sz w:val="24"/>
                <w:szCs w:val="24"/>
              </w:rPr>
              <w:t>月1</w:t>
            </w:r>
            <w:r>
              <w:rPr>
                <w:rFonts w:hint="eastAsia" w:ascii="宋体" w:hAnsi="宋体" w:eastAsia="宋体" w:cs="宋体"/>
                <w:sz w:val="24"/>
                <w:szCs w:val="24"/>
                <w:lang w:val="en-US" w:eastAsia="zh-CN"/>
              </w:rPr>
              <w:t>3</w:t>
            </w:r>
            <w:r>
              <w:rPr>
                <w:rFonts w:hint="eastAsia" w:ascii="宋体" w:hAnsi="宋体" w:eastAsia="宋体" w:cs="宋体"/>
                <w:sz w:val="24"/>
                <w:szCs w:val="24"/>
              </w:rPr>
              <w:t>日，现场沟通。</w:t>
            </w:r>
          </w:p>
          <w:p>
            <w:pPr>
              <w:spacing w:line="360" w:lineRule="auto"/>
              <w:rPr>
                <w:rFonts w:hint="eastAsia" w:ascii="宋体" w:hAnsi="宋体" w:eastAsia="宋体" w:cs="宋体"/>
                <w:sz w:val="24"/>
                <w:szCs w:val="24"/>
              </w:rPr>
            </w:pPr>
            <w:r>
              <w:rPr>
                <w:rFonts w:hint="eastAsia" w:ascii="宋体" w:hAnsi="宋体" w:eastAsia="宋体" w:cs="宋体"/>
                <w:sz w:val="24"/>
                <w:szCs w:val="24"/>
              </w:rPr>
              <w:t>参加人员包括公司总经理、管理者代表、各部门负责人</w:t>
            </w:r>
          </w:p>
          <w:p>
            <w:pPr>
              <w:spacing w:line="360" w:lineRule="auto"/>
              <w:rPr>
                <w:rFonts w:hint="eastAsia" w:ascii="宋体" w:hAnsi="宋体" w:eastAsia="宋体" w:cs="宋体"/>
                <w:sz w:val="24"/>
                <w:szCs w:val="24"/>
              </w:rPr>
            </w:pPr>
            <w:r>
              <w:rPr>
                <w:rFonts w:hint="eastAsia" w:ascii="宋体" w:hAnsi="宋体" w:eastAsia="宋体" w:cs="宋体"/>
                <w:sz w:val="24"/>
                <w:szCs w:val="24"/>
              </w:rPr>
              <w:t>计划中明确了评审内容和资料准备要求。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2.管理评审会议记录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hint="eastAsia" w:ascii="宋体" w:hAnsi="宋体" w:eastAsia="宋体" w:cs="宋体"/>
                <w:sz w:val="24"/>
                <w:szCs w:val="24"/>
              </w:rPr>
            </w:pPr>
            <w:r>
              <w:rPr>
                <w:rFonts w:hint="eastAsia" w:ascii="宋体" w:hAnsi="宋体" w:eastAsia="宋体" w:cs="宋体"/>
                <w:sz w:val="24"/>
                <w:szCs w:val="24"/>
              </w:rPr>
              <w:t>3.管理评审报告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查有《管理评审控制程序》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明确总经理按照策划的时间间隔对组织的管理体系进行评审，以确保其持续的适宜性、充分性和有效性，并与组织的战略方向一致。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管理评审于202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日，由总经理组织召开，参加人员包括公司管理层、各部门负责人等。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查：“管理评审计划”目的：管理体系的适宜性、充分性和有效性，寻求改进机会，以确保实现公司的战略方向等，内容有：评审的依据、参加人员、评审的主要内容等。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管理评审的实施，查有：“管理评审会议记录”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管理评审会议，于202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日召开，有总经理主持会议，共有</w:t>
            </w:r>
            <w:r>
              <w:rPr>
                <w:rFonts w:hint="eastAsia" w:ascii="宋体" w:hAnsi="宋体" w:eastAsia="宋体" w:cs="宋体"/>
                <w:sz w:val="24"/>
                <w:szCs w:val="24"/>
                <w:lang w:val="en-US" w:eastAsia="zh-CN"/>
              </w:rPr>
              <w:t>6</w:t>
            </w:r>
            <w:r>
              <w:rPr>
                <w:rFonts w:hint="eastAsia" w:ascii="宋体" w:hAnsi="宋体" w:eastAsia="宋体" w:cs="宋体"/>
                <w:sz w:val="24"/>
                <w:szCs w:val="24"/>
              </w:rPr>
              <w:t>人参加会议（其中包括：总经理、体系负责人、各部门负责人等。按计划的时间实施了管理评审。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《管理评审的输入资料》：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查看有：各部门提交体系工作总结，</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查有《管理评审报告》，主要对过程的管理体系有效性及体系的有效性和适宜性的评价，有改进意见</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b）进一步加强“三体系”的宣传和教育。力求将体系管理思想意识和理念培养成为一种习惯，并能够自觉按照管理标准来规范自己的行为，最终成为公司“三体系”管理的一种文化。</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c）进一步强化基层职工的技能培训和行为训练。使其主动运用管理体系运行程序控制风险，避免事故（即质量事故、环境事故、安全事故）的发生。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d) 进一步加强记录管理。采用日常与专项检查的模式，规范各单位记录、表单的使用与管理。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未见相关的措施计划落实的相关证实，已交流。。输入资料较全，对改进的意见的措施基本落实。</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组织能保留以上形成文件的信息，作为管理评审结果的证据。</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总则</w:t>
            </w:r>
          </w:p>
        </w:tc>
        <w:tc>
          <w:tcPr>
            <w:tcW w:w="960" w:type="dxa"/>
          </w:tcPr>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QEO 10.1</w:t>
            </w:r>
          </w:p>
        </w:tc>
        <w:tc>
          <w:tcPr>
            <w:tcW w:w="10004" w:type="dxa"/>
          </w:tcPr>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eastAsia="zh-CN"/>
              </w:rPr>
              <w:t>综合管理部</w:t>
            </w:r>
            <w:r>
              <w:rPr>
                <w:rFonts w:hint="eastAsia" w:ascii="宋体" w:hAnsi="宋体" w:eastAsia="宋体" w:cs="宋体"/>
                <w:sz w:val="24"/>
                <w:szCs w:val="24"/>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 xml:space="preserve"> ——具体事实可见审核10.2条款记录。</w:t>
            </w:r>
          </w:p>
        </w:tc>
        <w:tc>
          <w:tcPr>
            <w:tcW w:w="1585" w:type="dxa"/>
          </w:tcPr>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tcPr>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持续改进</w:t>
            </w:r>
          </w:p>
        </w:tc>
        <w:tc>
          <w:tcPr>
            <w:tcW w:w="960" w:type="dxa"/>
          </w:tcPr>
          <w:p>
            <w:pPr>
              <w:autoSpaceDE w:val="0"/>
              <w:autoSpaceDN w:val="0"/>
              <w:adjustRightInd w:val="0"/>
              <w:spacing w:line="360" w:lineRule="auto"/>
              <w:jc w:val="left"/>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QEO 10.3</w:t>
            </w:r>
          </w:p>
        </w:tc>
        <w:tc>
          <w:tcPr>
            <w:tcW w:w="10004" w:type="dxa"/>
            <w:vAlign w:val="center"/>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在《管理手册》中明确“持续改进”的要求，并编制《改进管理程序》。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在持续改进方面，制定了《不合格控制程序》、《纠正措施控制程序》、《预防措施控制程序》等相关文件化信息要求</w:t>
            </w:r>
            <w:r>
              <w:rPr>
                <w:rFonts w:hint="eastAsia" w:ascii="宋体" w:hAnsi="宋体" w:eastAsia="宋体" w:cs="宋体"/>
                <w:sz w:val="24"/>
                <w:szCs w:val="24"/>
                <w:lang w:val="en-US" w:eastAsia="zh-CN"/>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验证企业相关资质证明的有效性</w:t>
            </w:r>
          </w:p>
        </w:tc>
        <w:tc>
          <w:tcPr>
            <w:tcW w:w="960" w:type="dxa"/>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tcPr>
          <w:p>
            <w:pPr>
              <w:autoSpaceDE w:val="0"/>
              <w:autoSpaceDN w:val="0"/>
              <w:adjustRightInd w:val="0"/>
              <w:spacing w:line="360" w:lineRule="auto"/>
              <w:ind w:firstLine="480" w:firstLineChars="200"/>
              <w:jc w:val="left"/>
              <w:rPr>
                <w:rFonts w:hint="eastAsia" w:ascii="宋体" w:hAnsi="宋体" w:eastAsia="宋体" w:cs="宋体"/>
                <w:sz w:val="24"/>
                <w:szCs w:val="24"/>
                <w:lang w:val="en-US" w:eastAsia="zh-CN"/>
              </w:rPr>
            </w:pPr>
            <w:bookmarkStart w:id="1" w:name="_GoBack"/>
            <w:bookmarkEnd w:id="1"/>
            <w:r>
              <w:rPr>
                <w:rFonts w:hint="eastAsia" w:ascii="宋体" w:hAnsi="宋体" w:eastAsia="宋体" w:cs="宋体"/>
                <w:sz w:val="24"/>
                <w:szCs w:val="24"/>
                <w:lang w:val="en-US" w:eastAsia="zh-CN"/>
              </w:rPr>
              <w:t>营业执照在有效期内</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顾客满意、相关方投诉及处理情况</w:t>
            </w:r>
          </w:p>
        </w:tc>
        <w:tc>
          <w:tcPr>
            <w:tcW w:w="960" w:type="dxa"/>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未收到顾客大投诉；电话顾客电话及时处理；</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未有产品召回情况。</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认证证书、标志的使用情况；</w:t>
            </w:r>
          </w:p>
        </w:tc>
        <w:tc>
          <w:tcPr>
            <w:tcW w:w="960" w:type="dxa"/>
            <w:vAlign w:val="top"/>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vAlign w:val="center"/>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与公司管理者代表沟通，企业对认证证书用于项目投标，未使用认证标志，对认证证书、标志的使用情况满足要求。</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体系变化</w:t>
            </w:r>
            <w:r>
              <w:rPr>
                <w:rFonts w:hint="eastAsia" w:ascii="宋体" w:hAnsi="宋体" w:eastAsia="宋体" w:cs="宋体"/>
                <w:sz w:val="24"/>
                <w:szCs w:val="24"/>
              </w:rPr>
              <w:t>国家/地方监督抽查情况</w:t>
            </w:r>
          </w:p>
        </w:tc>
        <w:tc>
          <w:tcPr>
            <w:tcW w:w="960" w:type="dxa"/>
            <w:vAlign w:val="top"/>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vAlign w:val="center"/>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目前没有上级主管部门对公司的在质量、环境、职业健康安全监督抽查</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标准、规范、法规的执行情况</w:t>
            </w:r>
          </w:p>
        </w:tc>
        <w:tc>
          <w:tcPr>
            <w:tcW w:w="960" w:type="dxa"/>
            <w:vAlign w:val="top"/>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vAlign w:val="center"/>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目前公司经营过程中没有发生违反相关法律法规及其他要求的情况</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上次审核不符合项的验证</w:t>
            </w:r>
          </w:p>
        </w:tc>
        <w:tc>
          <w:tcPr>
            <w:tcW w:w="960" w:type="dxa"/>
            <w:vAlign w:val="top"/>
          </w:tcPr>
          <w:p>
            <w:pPr>
              <w:autoSpaceDE w:val="0"/>
              <w:autoSpaceDN w:val="0"/>
              <w:adjustRightInd w:val="0"/>
              <w:spacing w:line="360" w:lineRule="auto"/>
              <w:ind w:firstLine="480" w:firstLineChars="200"/>
              <w:jc w:val="left"/>
              <w:rPr>
                <w:rFonts w:hint="eastAsia" w:ascii="宋体" w:hAnsi="宋体" w:eastAsia="宋体" w:cs="宋体"/>
                <w:sz w:val="24"/>
                <w:szCs w:val="24"/>
              </w:rPr>
            </w:pPr>
          </w:p>
        </w:tc>
        <w:tc>
          <w:tcPr>
            <w:tcW w:w="10004" w:type="dxa"/>
            <w:vAlign w:val="center"/>
          </w:tcPr>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验证了上次审核发现不符合项的整改情况，提供了整改记录，以及相关的培训记录，经验证，措施有效。</w:t>
            </w:r>
          </w:p>
        </w:tc>
        <w:tc>
          <w:tcPr>
            <w:tcW w:w="158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备注：</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29177C4"/>
    <w:rsid w:val="2413495E"/>
    <w:rsid w:val="26092B3A"/>
    <w:rsid w:val="2D8F2EA8"/>
    <w:rsid w:val="38F512A1"/>
    <w:rsid w:val="680E4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8932</Words>
  <Characters>9280</Characters>
  <Lines>1</Lines>
  <Paragraphs>1</Paragraphs>
  <TotalTime>2</TotalTime>
  <ScaleCrop>false</ScaleCrop>
  <LinksUpToDate>false</LinksUpToDate>
  <CharactersWithSpaces>9393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2022-05-17T15:19:20Z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FF65E606996F41D29AB90D42CB1D4356</vt:lpwstr>
  </property>
  <property fmtid="{D5CDD505-2E9C-101B-9397-08002B2CF9AE}" pid="3" name="KSOProductBuildVer">
    <vt:lpwstr>2052-11.1.0.11636</vt:lpwstr>
  </property>
</Properties>
</file>