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0267-2022-QEO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1306"/>
        <w:gridCol w:w="330"/>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河北筑源商品混凝土有限公司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91130609MA0G29QJ88</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河北筑源商品混凝土有限公司</w:t>
            </w:r>
            <w:bookmarkEnd w:id="13"/>
          </w:p>
        </w:tc>
        <w:tc>
          <w:tcPr>
            <w:tcW w:w="5013" w:type="dxa"/>
            <w:gridSpan w:val="6"/>
            <w:vMerge w:val="restart"/>
          </w:tcPr>
          <w:p>
            <w:pPr>
              <w:rPr>
                <w:b w:val="0"/>
                <w:bCs w:val="0"/>
                <w:sz w:val="20"/>
              </w:rPr>
            </w:pPr>
            <w:r>
              <w:rPr>
                <w:b w:val="0"/>
                <w:bCs w:val="0"/>
                <w:sz w:val="20"/>
              </w:rPr>
              <w:t>Q：资质范围内预拌混凝土的生产</w:t>
            </w:r>
          </w:p>
          <w:p>
            <w:pPr>
              <w:rPr>
                <w:b w:val="0"/>
                <w:bCs w:val="0"/>
                <w:sz w:val="20"/>
              </w:rPr>
            </w:pPr>
            <w:r>
              <w:rPr>
                <w:b w:val="0"/>
                <w:bCs w:val="0"/>
                <w:sz w:val="20"/>
              </w:rPr>
              <w:t>E：资质范围内预拌混凝土的生产所涉及场所的相关环境管理活动</w:t>
            </w:r>
          </w:p>
          <w:p>
            <w:pPr>
              <w:snapToGrid w:val="0"/>
              <w:spacing w:line="0" w:lineRule="atLeast"/>
              <w:jc w:val="left"/>
              <w:rPr>
                <w:sz w:val="22"/>
                <w:szCs w:val="22"/>
              </w:rPr>
            </w:pPr>
            <w:r>
              <w:rPr>
                <w:b w:val="0"/>
                <w:bCs w:val="0"/>
                <w:sz w:val="20"/>
              </w:rPr>
              <w:t>O：资质范围内预拌混凝土的生产所涉及场所的相关职业健康安全管理活动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河北省保定市徐水区安肃镇南张丰村</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河北省保定市徐水区安肃镇南张丰村</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Hebei Zhuyuan Commercial Concrete Co., Ltd</w:t>
            </w:r>
          </w:p>
        </w:tc>
        <w:tc>
          <w:tcPr>
            <w:tcW w:w="1337" w:type="dxa"/>
            <w:gridSpan w:val="2"/>
          </w:tcPr>
          <w:p>
            <w:pPr>
              <w:snapToGrid w:val="0"/>
              <w:spacing w:line="0" w:lineRule="atLeast"/>
              <w:jc w:val="left"/>
              <w:rPr>
                <w:sz w:val="22"/>
                <w:szCs w:val="22"/>
              </w:rPr>
            </w:pPr>
            <w:r>
              <w:rPr>
                <w:rFonts w:hint="eastAsia"/>
                <w:sz w:val="22"/>
                <w:szCs w:val="22"/>
              </w:rPr>
              <w:t>QMS</w:t>
            </w:r>
          </w:p>
        </w:tc>
        <w:tc>
          <w:tcPr>
            <w:tcW w:w="3676" w:type="dxa"/>
            <w:gridSpan w:val="4"/>
          </w:tcPr>
          <w:p>
            <w:pPr>
              <w:snapToGrid w:val="0"/>
              <w:spacing w:line="0" w:lineRule="atLeast"/>
              <w:jc w:val="left"/>
              <w:rPr>
                <w:sz w:val="21"/>
                <w:szCs w:val="16"/>
              </w:rPr>
            </w:pPr>
            <w:r>
              <w:rPr>
                <w:rFonts w:hint="eastAsia"/>
                <w:sz w:val="21"/>
                <w:szCs w:val="16"/>
              </w:rPr>
              <w:t>Production of ready mixed concrete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An Su Zhen Nan Zhang Feng Cun, Xushui District, Baoding City, Hebei Province</w:t>
            </w: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2"/>
                <w:szCs w:val="22"/>
              </w:rPr>
            </w:pPr>
            <w:r>
              <w:rPr>
                <w:rFonts w:hint="eastAsia"/>
                <w:sz w:val="22"/>
                <w:szCs w:val="22"/>
              </w:rPr>
              <w:t>Relevant environmental management activities of the places involved in the production of ready mixed concrete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An Su Zhen Nan Zhang Feng Cun, Xushui District, Baoding City, Hebei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ready mixed concrete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lang w:val="en-GB"/>
              </w:rPr>
            </w:pPr>
          </w:p>
          <w:p>
            <w:pPr>
              <w:pStyle w:val="2"/>
              <w:rPr>
                <w:rFonts w:hint="eastAsia" w:eastAsia="宋体"/>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lang w:val="en-GB"/>
              </w:rPr>
            </w:pPr>
          </w:p>
          <w:p>
            <w:pPr>
              <w:pStyle w:val="2"/>
              <w:rPr>
                <w:rFonts w:hint="eastAsia" w:eastAsia="宋体"/>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b/>
          <w:color w:val="000000" w:themeColor="text1"/>
          <w:sz w:val="18"/>
          <w:szCs w:val="18"/>
          <w:lang w:val="en-GB"/>
        </w:rPr>
      </w:pPr>
    </w:p>
    <w:p>
      <w:pPr>
        <w:pStyle w:val="3"/>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086475" cy="8848090"/>
            <wp:effectExtent l="0" t="0" r="9525" b="3810"/>
            <wp:docPr id="1" name="图片 1" descr="新文档 2022-04-18 09.28.4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8 09.28.40_17"/>
                    <pic:cNvPicPr>
                      <a:picLocks noChangeAspect="1"/>
                    </pic:cNvPicPr>
                  </pic:nvPicPr>
                  <pic:blipFill>
                    <a:blip r:embed="rId5"/>
                    <a:stretch>
                      <a:fillRect/>
                    </a:stretch>
                  </pic:blipFill>
                  <pic:spPr>
                    <a:xfrm>
                      <a:off x="0" y="0"/>
                      <a:ext cx="6086475" cy="884809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185D86"/>
    <w:rsid w:val="44FC0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2022-04-19T08:32:09Z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