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720"/>
        <w:gridCol w:w="228"/>
        <w:gridCol w:w="1416"/>
        <w:gridCol w:w="86"/>
        <w:gridCol w:w="1142"/>
        <w:gridCol w:w="796"/>
        <w:gridCol w:w="640"/>
        <w:gridCol w:w="378"/>
        <w:gridCol w:w="294"/>
        <w:gridCol w:w="20"/>
        <w:gridCol w:w="66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内蒙古巨力新型建材有限公司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内蒙古呼和浩特市如意新区小平南路东侧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内蒙古呼和浩特市如意新区小平南路东侧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胡萍</w:t>
            </w:r>
            <w:bookmarkEnd w:id="3"/>
          </w:p>
        </w:tc>
        <w:tc>
          <w:tcPr>
            <w:tcW w:w="12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14747888307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330385345@qq.com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4"/>
            <w:vAlign w:val="center"/>
          </w:tcPr>
          <w:p>
            <w:bookmarkStart w:id="6" w:name="最高管理者"/>
            <w:bookmarkEnd w:id="6"/>
          </w:p>
        </w:tc>
        <w:tc>
          <w:tcPr>
            <w:tcW w:w="122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4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0238-2022-EnMs</w:t>
            </w:r>
            <w:bookmarkEnd w:id="8"/>
          </w:p>
        </w:tc>
        <w:tc>
          <w:tcPr>
            <w:tcW w:w="122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237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0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1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预拌干粉砂浆、挤塑板的生产所涉及的能源管理活动</w:t>
            </w:r>
            <w:bookmarkEnd w:id="15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2.3;2.4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114-2014能源管理体系 纯碱、焦化、橡胶制品、制药等化工企业认证要求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RB/T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121-2016能源管理体系 建材（不含水泥、玻璃、陶瓷）企业认证要求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"/>
            <w:r>
              <w:rPr>
                <w:rFonts w:hint="eastAsia"/>
                <w:b/>
                <w:sz w:val="20"/>
              </w:rPr>
              <w:t>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月17日 下午至2022年0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月1</w:t>
            </w:r>
            <w:r>
              <w:rPr>
                <w:rFonts w:hint="eastAsia"/>
                <w:b/>
                <w:sz w:val="20"/>
                <w:lang w:val="en-US" w:eastAsia="zh-CN"/>
              </w:rPr>
              <w:t>7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7"/>
            <w:r>
              <w:rPr>
                <w:rFonts w:hint="eastAsia"/>
                <w:b/>
                <w:sz w:val="20"/>
              </w:rPr>
              <w:t>(共</w:t>
            </w:r>
            <w:bookmarkStart w:id="18" w:name="审核天数"/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.0</w:t>
            </w:r>
            <w:bookmarkEnd w:id="18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sz w:val="20"/>
                <w:lang w:val="de-DE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  <w:lang w:val="de-DE"/>
              </w:rPr>
              <w:t>涛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2021-N1EnMS-2072033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2.3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13863734938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冀少华</w:t>
            </w:r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ISC-JSZJ-523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内蒙古奕耀建筑材料有限公司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421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18698400801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142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3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21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冀少华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内蒙古奕耀建筑材料有限公司</w:t>
            </w:r>
          </w:p>
        </w:tc>
        <w:tc>
          <w:tcPr>
            <w:tcW w:w="114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2.4</w:t>
            </w:r>
          </w:p>
        </w:tc>
        <w:tc>
          <w:tcPr>
            <w:tcW w:w="1421" w:type="dxa"/>
            <w:gridSpan w:val="5"/>
            <w:vAlign w:val="center"/>
          </w:tcPr>
          <w:p>
            <w:r>
              <w:rPr>
                <w:rFonts w:hint="eastAsia"/>
                <w:sz w:val="20"/>
                <w:lang w:val="de-DE"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val="de-DE" w:eastAsia="zh-CN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18698400801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-44450</wp:posOffset>
                  </wp:positionV>
                  <wp:extent cx="640715" cy="372745"/>
                  <wp:effectExtent l="0" t="0" r="6985" b="8255"/>
                  <wp:wrapSquare wrapText="bothSides"/>
                  <wp:docPr id="1" name="图片 2" descr="0e01075ba2fecce7a326c4f9b0d1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0e01075ba2fecce7a326c4f9b0d1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9" w:name="审核派遣人"/>
            <w:r>
              <w:rPr>
                <w:sz w:val="21"/>
                <w:szCs w:val="21"/>
              </w:rPr>
              <w:t>李凤娟</w:t>
            </w:r>
            <w:bookmarkEnd w:id="19"/>
          </w:p>
        </w:tc>
        <w:tc>
          <w:tcPr>
            <w:tcW w:w="1332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0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13863734938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2022.8.16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2022.817</w:t>
            </w:r>
          </w:p>
        </w:tc>
      </w:tr>
    </w:tbl>
    <w:tbl>
      <w:tblPr>
        <w:tblStyle w:val="6"/>
        <w:tblpPr w:leftFromText="180" w:rightFromText="180" w:vertAnchor="text" w:horzAnchor="page" w:tblpX="893" w:tblpY="392"/>
        <w:tblOverlap w:val="never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60"/>
        <w:gridCol w:w="998"/>
        <w:gridCol w:w="3720"/>
        <w:gridCol w:w="2036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-</w:t>
            </w:r>
            <w:bookmarkStart w:id="20" w:name="_GoBack"/>
            <w:bookmarkEnd w:id="20"/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320" w:lineRule="exact"/>
              <w:ind w:firstLine="211" w:firstLineChars="100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第一天</w:t>
            </w:r>
          </w:p>
        </w:tc>
        <w:tc>
          <w:tcPr>
            <w:tcW w:w="99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-8:30</w:t>
            </w:r>
          </w:p>
        </w:tc>
        <w:tc>
          <w:tcPr>
            <w:tcW w:w="998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企业相关人员</w:t>
            </w:r>
          </w:p>
        </w:tc>
        <w:tc>
          <w:tcPr>
            <w:tcW w:w="372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0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-10:30</w:t>
            </w:r>
          </w:p>
        </w:tc>
        <w:tc>
          <w:tcPr>
            <w:tcW w:w="998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372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组织所处的环境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相关方的需求和期望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能源管理体系的范围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能源管理体系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领导作用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能源方针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风险和机遇的措施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资源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管理评审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持续改进</w:t>
            </w:r>
            <w:r>
              <w:rPr>
                <w:rFonts w:hint="eastAsia" w:ascii="宋体" w:hAnsi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（现场确认）</w:t>
            </w:r>
          </w:p>
        </w:tc>
        <w:tc>
          <w:tcPr>
            <w:tcW w:w="203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4.4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7.1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9.3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12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98" w:type="dxa"/>
            <w:vAlign w:val="top"/>
          </w:tcPr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3720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技术部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的岗位、职责和权限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目标、能源指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完成情况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计量检定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控制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能源绩效和能源管理体系的监视、测量、分析和评价；法律法规要求和其他要求的合规性评价；不符合与纠正措施；持续改进；</w:t>
            </w:r>
            <w:r>
              <w:rPr>
                <w:rFonts w:hint="eastAsia" w:ascii="宋体" w:hAnsi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（现场确认）</w:t>
            </w:r>
          </w:p>
        </w:tc>
        <w:tc>
          <w:tcPr>
            <w:tcW w:w="2036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EnMS: 5.3/6.2/7.4/8.1/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8.2、9.1.1/9.1.2/9.2/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 xml:space="preserve">10.1/10.2 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998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372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生产部的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岗位、职责和权限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公司及生产部的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能源目标、指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标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能源评审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能源绩效参数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能源基准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采集能源数据的策划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运行的策划和控制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设计过程对能源使用及消耗的策划和控制；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能源绩效和能源管理体系的监视、测量、分析和评价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</w:rPr>
              <w:t>不符合与纠正措施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（现场确认）</w:t>
            </w:r>
          </w:p>
        </w:tc>
        <w:tc>
          <w:tcPr>
            <w:tcW w:w="2036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MS: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6.5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6.6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  <w:t>10.1</w:t>
            </w:r>
          </w:p>
        </w:tc>
        <w:tc>
          <w:tcPr>
            <w:tcW w:w="112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8" w:type="dxa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综合部</w:t>
            </w:r>
          </w:p>
        </w:tc>
        <w:tc>
          <w:tcPr>
            <w:tcW w:w="372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综合部的岗位、职责和权限；目标、能源指标及其实现的策划；能源意识和信息交流；文件化信息；运行的策划和控制；</w:t>
            </w:r>
            <w:r>
              <w:rPr>
                <w:rFonts w:hint="eastAsia" w:ascii="宋体" w:hAnsi="宋体" w:cs="Times New Roman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（现场确认）</w:t>
            </w:r>
          </w:p>
        </w:tc>
        <w:tc>
          <w:tcPr>
            <w:tcW w:w="2036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EnMS：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5.3/6.2/7.2/7.3/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7.4/7.5/8.1/8.3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:30</w:t>
            </w:r>
          </w:p>
        </w:tc>
        <w:tc>
          <w:tcPr>
            <w:tcW w:w="998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spacing w:line="300" w:lineRule="exact"/>
              <w:ind w:firstLine="210" w:firstLineChars="100"/>
              <w:jc w:val="both"/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代表沟通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、末次会议、结论</w:t>
            </w:r>
          </w:p>
        </w:tc>
        <w:tc>
          <w:tcPr>
            <w:tcW w:w="2036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</w:tbl>
    <w:p>
      <w:pPr>
        <w:snapToGrid w:val="0"/>
        <w:spacing w:line="320" w:lineRule="exact"/>
        <w:jc w:val="both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18"/>
          <w:szCs w:val="18"/>
          <w:u w:val="none"/>
          <w:lang w:val="en-US" w:eastAsia="zh-CN"/>
        </w:rPr>
        <w:t>注：午餐时间：12：-13:00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044E59D9"/>
    <w:rsid w:val="363C6B44"/>
    <w:rsid w:val="3EBC0C4D"/>
    <w:rsid w:val="67DB7973"/>
    <w:rsid w:val="73BF0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1559</Words>
  <Characters>2280</Characters>
  <Lines>37</Lines>
  <Paragraphs>10</Paragraphs>
  <TotalTime>6</TotalTime>
  <ScaleCrop>false</ScaleCrop>
  <LinksUpToDate>false</LinksUpToDate>
  <CharactersWithSpaces>2337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2022-08-16T03:30:01Z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2052-11.1.0.12313</vt:lpwstr>
  </property>
</Properties>
</file>