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0185-2022-QE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成都亚美包装有限公司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2022年04月27日 上午至2022年04月27日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w:t>
            </w:r>
            <w:r>
              <w:rPr>
                <w:rFonts w:hint="eastAsia" w:ascii="宋体" w:hAnsi="宋体"/>
                <w:b/>
                <w:color w:val="000000"/>
                <w:szCs w:val="21"/>
                <w:lang w:val="de-DE"/>
              </w:rPr>
              <w:sym w:font="Wingdings 2" w:char="00A3"/>
            </w: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p>
            <w:pPr>
              <w:spacing w:line="240" w:lineRule="exact"/>
              <w:jc w:val="center"/>
              <w:rPr>
                <w:b/>
                <w:color w:val="000000"/>
                <w:szCs w:val="21"/>
              </w:rPr>
            </w:pPr>
            <w:r>
              <w:rPr>
                <w:b/>
                <w:color w:val="000000"/>
                <w:szCs w:val="21"/>
              </w:rPr>
              <w:t>2019-N1EMS-1242345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谢梦洋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成都和立包装材料有限公司</w:t>
            </w:r>
          </w:p>
        </w:tc>
        <w:tc>
          <w:tcPr>
            <w:tcW w:w="1140" w:type="dxa"/>
            <w:vAlign w:val="center"/>
          </w:tcPr>
          <w:p>
            <w:pPr>
              <w:spacing w:line="240" w:lineRule="exact"/>
              <w:jc w:val="center"/>
              <w:rPr>
                <w:b/>
                <w:color w:val="000000"/>
                <w:szCs w:val="21"/>
              </w:rPr>
            </w:pPr>
            <w:r>
              <w:rPr>
                <w:b/>
                <w:color w:val="000000"/>
                <w:szCs w:val="21"/>
              </w:rPr>
              <w:t>Q:07.02.01,09.01.02</w:t>
            </w:r>
          </w:p>
          <w:p>
            <w:pPr>
              <w:spacing w:line="240" w:lineRule="exact"/>
              <w:jc w:val="center"/>
              <w:rPr>
                <w:b/>
                <w:color w:val="000000"/>
                <w:szCs w:val="21"/>
              </w:rPr>
            </w:pPr>
            <w:r>
              <w:rPr>
                <w:b/>
                <w:color w:val="000000"/>
                <w:szCs w:val="21"/>
              </w:rPr>
              <w:t>E:07.02.01,09.01.02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成都亚美包装有限公司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成都市郫都区新民场镇云凌村16组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611730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成都市郫都区新民场镇云凌村16组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611732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严清春</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18116657006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r>
              <w:rPr>
                <w:rFonts w:ascii="宋体"/>
                <w:b/>
                <w:color w:val="000000"/>
                <w:szCs w:val="21"/>
              </w:rPr>
              <w:t>15828598750</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严清春</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严清春</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纸箱的加工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imes New Roman" w:hAnsi="Times New Roman" w:cs="Times New Roman"/>
                <w:color w:val="000000"/>
              </w:rPr>
            </w:pPr>
            <w:r>
              <w:rPr>
                <w:rFonts w:hint="eastAsia" w:ascii="Times New Roman" w:hAnsi="Times New Roman" w:cs="Times New Roman"/>
                <w:color w:val="000000"/>
              </w:rPr>
              <w:t>印刷——成型（开槽、模切）——装订（粘接、装订）——检验——包装——入库。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纸箱的加工</w:t>
            </w:r>
          </w:p>
        </w:tc>
        <w:tc>
          <w:tcPr>
            <w:tcW w:w="2006" w:type="dxa"/>
            <w:gridSpan w:val="3"/>
            <w:vAlign w:val="center"/>
          </w:tcPr>
          <w:p>
            <w:pPr>
              <w:spacing w:line="400" w:lineRule="exact"/>
              <w:rPr>
                <w:rFonts w:ascii="宋体" w:hAnsi="宋体"/>
                <w:b/>
                <w:color w:val="000000"/>
                <w:szCs w:val="21"/>
              </w:rPr>
            </w:pPr>
            <w: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纸箱的加工所涉及场所的相关环境管理活动</w:t>
            </w:r>
          </w:p>
        </w:tc>
        <w:tc>
          <w:tcPr>
            <w:tcW w:w="2006" w:type="dxa"/>
            <w:gridSpan w:val="3"/>
            <w:vAlign w:val="center"/>
          </w:tcPr>
          <w:p>
            <w:pPr>
              <w:spacing w:line="400" w:lineRule="exact"/>
              <w:rPr>
                <w:rFonts w:ascii="宋体" w:hAnsi="宋体"/>
                <w:b/>
                <w:color w:val="000000"/>
                <w:szCs w:val="21"/>
              </w:rPr>
            </w:pPr>
            <w: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5"/>
        <w:gridCol w:w="131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155"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1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成都亚美包装有限公司</w:t>
            </w:r>
            <w:r>
              <w:rPr>
                <w:rFonts w:hint="eastAsia"/>
                <w:sz w:val="21"/>
                <w:szCs w:val="21"/>
                <w:lang w:val="en-US" w:eastAsia="zh-CN"/>
              </w:rPr>
              <w:t>/</w:t>
            </w:r>
            <w:r>
              <w:rPr>
                <w:sz w:val="21"/>
                <w:szCs w:val="21"/>
              </w:rPr>
              <w:t>成都市郫都区新民场镇云凌村16组</w:t>
            </w:r>
          </w:p>
        </w:tc>
        <w:tc>
          <w:tcPr>
            <w:tcW w:w="2267" w:type="dxa"/>
          </w:tcPr>
          <w:p>
            <w:pPr>
              <w:spacing w:before="40" w:after="40"/>
              <w:rPr>
                <w:rFonts w:eastAsia="黑体"/>
                <w:szCs w:val="21"/>
                <w:lang w:val="de-DE" w:eastAsia="ja-JP"/>
              </w:rPr>
            </w:pPr>
            <w:r>
              <w:rPr>
                <w:sz w:val="21"/>
                <w:szCs w:val="21"/>
              </w:rPr>
              <w:t>成都市郫都区新民场镇云凌村16组</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21</w:t>
            </w:r>
          </w:p>
        </w:tc>
        <w:tc>
          <w:tcPr>
            <w:tcW w:w="2155" w:type="dxa"/>
            <w:vAlign w:val="center"/>
          </w:tcPr>
          <w:p>
            <w:pPr>
              <w:pStyle w:val="21"/>
              <w:rPr>
                <w:rFonts w:eastAsia="黑体" w:cs="Arial"/>
                <w:sz w:val="21"/>
                <w:szCs w:val="21"/>
                <w:lang w:val="en-US" w:eastAsia="ja-JP"/>
              </w:rPr>
            </w:pPr>
            <w:r>
              <w:t>纸箱的加工</w:t>
            </w:r>
          </w:p>
        </w:tc>
        <w:tc>
          <w:tcPr>
            <w:tcW w:w="1317" w:type="dxa"/>
            <w:vAlign w:val="center"/>
          </w:tcPr>
          <w:p>
            <w:pPr>
              <w:rPr>
                <w:rFonts w:ascii="宋体" w:hAnsi="宋体"/>
                <w:b/>
                <w:sz w:val="21"/>
                <w:szCs w:val="21"/>
              </w:rPr>
            </w:pPr>
            <w:r>
              <w:rPr>
                <w:rFonts w:hint="eastAsia" w:ascii="宋体" w:hAnsi="宋体"/>
                <w:b/>
                <w:sz w:val="21"/>
                <w:szCs w:val="21"/>
              </w:rPr>
              <w:t xml:space="preserve">GB/T19001-2016/   </w:t>
            </w:r>
          </w:p>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5"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5"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5"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5"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sz w:val="21"/>
                <w:szCs w:val="21"/>
              </w:rPr>
              <w:t>成型、印刷</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val="en-US" w:eastAsia="zh-CN"/>
              </w:rPr>
              <w:t>印刷彩面</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highlight w:val="none"/>
              </w:rPr>
            </w:pPr>
            <w:r>
              <w:rPr>
                <w:rFonts w:hint="eastAsia" w:ascii="宋体" w:hAnsi="宋体"/>
                <w:color w:val="000000"/>
                <w:szCs w:val="21"/>
                <w:highlight w:val="none"/>
              </w:rPr>
              <w:t>受审核方认证范围内的产品的技术标准，及符合性证据</w:t>
            </w:r>
          </w:p>
          <w:p>
            <w:pPr>
              <w:ind w:left="-1" w:leftChars="-1" w:hanging="1"/>
              <w:jc w:val="left"/>
              <w:rPr>
                <w:rFonts w:ascii="宋体"/>
                <w:color w:val="000000"/>
                <w:spacing w:val="-10"/>
                <w:szCs w:val="21"/>
                <w:highlight w:val="none"/>
              </w:rPr>
            </w:pPr>
            <w:r>
              <w:rPr>
                <w:rFonts w:hint="eastAsia" w:ascii="宋体" w:hAnsi="宋体"/>
                <w:color w:val="000000"/>
                <w:spacing w:val="-10"/>
                <w:szCs w:val="21"/>
                <w:highlight w:val="none"/>
              </w:rPr>
              <w:t>（</w:t>
            </w:r>
            <w:r>
              <w:rPr>
                <w:rFonts w:ascii="宋体" w:hAnsi="宋体"/>
                <w:color w:val="000000"/>
                <w:spacing w:val="-10"/>
                <w:szCs w:val="21"/>
                <w:highlight w:val="none"/>
              </w:rPr>
              <w:t>QMS</w:t>
            </w:r>
            <w:r>
              <w:rPr>
                <w:rFonts w:hint="eastAsia" w:ascii="宋体" w:hAnsi="宋体"/>
                <w:color w:val="000000"/>
                <w:spacing w:val="-10"/>
                <w:szCs w:val="21"/>
                <w:highlight w:val="none"/>
              </w:rPr>
              <w:t>）</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pacing w:val="-10"/>
                <w:szCs w:val="21"/>
                <w:highlight w:val="none"/>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highlight w:val="none"/>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pacing w:val="-10"/>
                <w:szCs w:val="21"/>
                <w:highlight w:val="none"/>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highlight w:val="none"/>
              </w:rPr>
            </w:pPr>
          </w:p>
        </w:tc>
        <w:tc>
          <w:tcPr>
            <w:tcW w:w="4191" w:type="dxa"/>
            <w:shd w:val="clear" w:color="auto" w:fill="DBEEF3" w:themeFill="accent5" w:themeFillTint="32"/>
          </w:tcPr>
          <w:p>
            <w:pPr>
              <w:rPr>
                <w:rFonts w:ascii="宋体" w:hAnsi="宋体"/>
                <w:color w:val="000000"/>
                <w:spacing w:val="-10"/>
                <w:szCs w:val="21"/>
                <w:highlight w:val="none"/>
              </w:rPr>
            </w:pPr>
            <w:r>
              <w:rPr>
                <w:rFonts w:hint="eastAsia" w:ascii="宋体"/>
                <w:color w:val="000000"/>
                <w:szCs w:val="21"/>
                <w:highlight w:val="none"/>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highlight w:val="none"/>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市场抽查及质量事故</w:t>
            </w:r>
            <w:r>
              <w:rPr>
                <w:rFonts w:hint="eastAsia" w:ascii="宋体" w:hAnsi="宋体"/>
                <w:color w:val="000000"/>
                <w:spacing w:val="-10"/>
                <w:szCs w:val="21"/>
                <w:highlight w:val="none"/>
              </w:rPr>
              <w:t>（</w:t>
            </w:r>
            <w:r>
              <w:rPr>
                <w:rFonts w:ascii="宋体" w:hAnsi="宋体"/>
                <w:color w:val="000000"/>
                <w:spacing w:val="-10"/>
                <w:szCs w:val="21"/>
                <w:highlight w:val="none"/>
              </w:rPr>
              <w:t>QMS</w:t>
            </w:r>
            <w:r>
              <w:rPr>
                <w:rFonts w:hint="eastAsia" w:ascii="宋体" w:hAnsi="宋体"/>
                <w:color w:val="000000"/>
                <w:spacing w:val="-10"/>
                <w:szCs w:val="21"/>
                <w:highlight w:val="none"/>
              </w:rPr>
              <w:t>）</w:t>
            </w:r>
          </w:p>
        </w:tc>
        <w:tc>
          <w:tcPr>
            <w:tcW w:w="4191" w:type="dxa"/>
            <w:shd w:val="clear" w:color="auto" w:fill="DBEEF3" w:themeFill="accent5" w:themeFillTint="32"/>
          </w:tcPr>
          <w:p>
            <w:pPr>
              <w:rPr>
                <w:rFonts w:ascii="宋体"/>
                <w:color w:val="000000"/>
                <w:spacing w:val="-10"/>
                <w:szCs w:val="21"/>
                <w:highlight w:val="none"/>
              </w:rPr>
            </w:pPr>
            <w:r>
              <w:rPr>
                <w:rFonts w:hint="eastAsia" w:ascii="宋体"/>
                <w:color w:val="000000"/>
                <w:szCs w:val="21"/>
                <w:highlight w:val="none"/>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highlight w:val="none"/>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color w:val="000000"/>
                <w:szCs w:val="21"/>
                <w:highlight w:val="none"/>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highlight w:val="none"/>
              </w:rPr>
            </w:pPr>
          </w:p>
        </w:tc>
        <w:tc>
          <w:tcPr>
            <w:tcW w:w="4191"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w:t>
            </w:r>
            <w:r>
              <w:rPr>
                <w:rFonts w:hint="eastAsia" w:ascii="宋体"/>
                <w:color w:val="000000"/>
                <w:spacing w:val="-10"/>
                <w:szCs w:val="21"/>
              </w:rPr>
              <w:sym w:font="Wingdings 2" w:char="0052"/>
            </w:r>
            <w:r>
              <w:rPr>
                <w:rFonts w:hint="eastAsia" w:ascii="宋体"/>
                <w:color w:val="000000"/>
                <w:spacing w:val="-10"/>
                <w:szCs w:val="21"/>
              </w:rPr>
              <w:t>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bookmarkStart w:id="36" w:name="_GoBack"/>
            <w:bookmarkEnd w:id="36"/>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2022-04-2</w:t>
            </w:r>
            <w:bookmarkEnd w:id="35"/>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603250" cy="311150"/>
            <wp:effectExtent l="0" t="0" r="6350" b="12700"/>
            <wp:docPr id="3" name="图片 3"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ascii="宋体" w:hAnsi="宋体"/>
          <w:b/>
          <w:color w:val="000000"/>
          <w:szCs w:val="21"/>
        </w:rPr>
        <w:drawing>
          <wp:inline distT="0" distB="0" distL="114300" distR="114300">
            <wp:extent cx="686435" cy="258445"/>
            <wp:effectExtent l="0" t="0" r="18415" b="8255"/>
            <wp:docPr id="5" name="图片 5"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谢梦洋"/>
                    <pic:cNvPicPr>
                      <a:picLocks noChangeAspect="1"/>
                    </pic:cNvPicPr>
                  </pic:nvPicPr>
                  <pic:blipFill>
                    <a:blip r:embed="rId7"/>
                    <a:stretch>
                      <a:fillRect/>
                    </a:stretch>
                  </pic:blipFill>
                  <pic:spPr>
                    <a:xfrm>
                      <a:off x="0" y="0"/>
                      <a:ext cx="686435" cy="258445"/>
                    </a:xfrm>
                    <a:prstGeom prst="rect">
                      <a:avLst/>
                    </a:prstGeom>
                  </pic:spPr>
                </pic:pic>
              </a:graphicData>
            </a:graphic>
          </wp:inline>
        </w:drawing>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2022年04月27日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863B59"/>
    <w:rsid w:val="014D0B1B"/>
    <w:rsid w:val="09CB3E6C"/>
    <w:rsid w:val="0C97336E"/>
    <w:rsid w:val="0CE00D2E"/>
    <w:rsid w:val="17282E0C"/>
    <w:rsid w:val="27256F7F"/>
    <w:rsid w:val="35753BC1"/>
    <w:rsid w:val="3CB054DF"/>
    <w:rsid w:val="3EEA117C"/>
    <w:rsid w:val="50E341CC"/>
    <w:rsid w:val="5FA62A45"/>
    <w:rsid w:val="7EB56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2022-04-27T02:49:50Z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