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28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BEEF3" w:themeFill="accent5" w:themeFillTint="3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"/>
        <w:gridCol w:w="2098"/>
        <w:gridCol w:w="1010"/>
        <w:gridCol w:w="1"/>
        <w:gridCol w:w="1"/>
        <w:gridCol w:w="743"/>
        <w:gridCol w:w="2"/>
        <w:gridCol w:w="3"/>
        <w:gridCol w:w="9292"/>
        <w:gridCol w:w="154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5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41" w:type="dxa"/>
            <w:gridSpan w:val="5"/>
            <w:shd w:val="clear" w:color="auto" w:fill="DBEEF3" w:themeFill="accent5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陪同人员：王群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03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  <w:vAlign w:val="center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  <w:vAlign w:val="center"/>
          </w:tcPr>
          <w:p/>
        </w:tc>
        <w:tc>
          <w:tcPr>
            <w:tcW w:w="10041" w:type="dxa"/>
            <w:gridSpan w:val="5"/>
            <w:shd w:val="clear" w:color="auto" w:fill="DBEEF3" w:themeFill="accent5" w:themeFillTint="3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审核员：任泽华（远程）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审核沟通方式：腾讯会议/微信/电话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日上午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6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  <w:vAlign w:val="center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  <w:vAlign w:val="center"/>
          </w:tcPr>
          <w:p/>
        </w:tc>
        <w:tc>
          <w:tcPr>
            <w:tcW w:w="10041" w:type="dxa"/>
            <w:gridSpan w:val="5"/>
            <w:shd w:val="clear" w:color="auto" w:fill="DBEEF3" w:themeFill="accent5" w:themeFillTint="3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审核条款：</w:t>
            </w:r>
            <w:r>
              <w:rPr>
                <w:szCs w:val="21"/>
              </w:rPr>
              <w:t>QMS:5.3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6.2/7.1.3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8.1/8.5</w:t>
            </w:r>
            <w:r>
              <w:rPr>
                <w:rFonts w:hint="eastAsia"/>
                <w:szCs w:val="21"/>
              </w:rPr>
              <w:t>.1/8.5.2/8.5.3/8.5.4/8.5.6/8</w:t>
            </w:r>
            <w:r>
              <w:rPr>
                <w:szCs w:val="21"/>
              </w:rPr>
              <w:t>.3</w:t>
            </w:r>
          </w:p>
          <w:p>
            <w:pPr>
              <w:pStyle w:val="8"/>
              <w:ind w:firstLine="630" w:firstLineChars="300"/>
            </w:pPr>
            <w:r>
              <w:rPr>
                <w:szCs w:val="21"/>
              </w:rPr>
              <w:t>F:5.3/6.2/7.1.3/7.1.4/8.2/8.3/</w:t>
            </w:r>
            <w:r>
              <w:rPr>
                <w:rFonts w:hint="eastAsia"/>
                <w:szCs w:val="21"/>
              </w:rPr>
              <w:t>8.4/8.5.4.5/8.9.5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01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主要负责牛羊分割和销售过程的管理，</w:t>
            </w:r>
            <w:r>
              <w:rPr>
                <w:rFonts w:hint="eastAsia" w:ascii="宋体" w:hAnsi="宋体"/>
                <w:szCs w:val="21"/>
              </w:rPr>
              <w:t>加工过程C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hint="eastAsia" w:ascii="宋体" w:hAnsi="宋体"/>
                <w:szCs w:val="21"/>
              </w:rPr>
              <w:t>及OPRP的监控及实施、加工环境卫生管理；产品实现过程的策划、产品设计和开发、生产加工设备的维护保养管理、负责牛羊分割和销售中出现生产相关的问题并及时解决；负责设备设施的维护保养、产品标识、仓库管理，虫鼠害控制等工作。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8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质量和食品安全管理体系目标分解一栏表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《目标完成情况分析报告》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7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生产部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6"/>
              <w:gridCol w:w="1134"/>
              <w:gridCol w:w="2589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质量/食品安全目标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统计周期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计算方式/考核方式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</w:t>
                  </w:r>
                  <w:r>
                    <w:rPr>
                      <w:rFonts w:ascii="宋体" w:hAnsi="宋体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6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生产计划执行率100%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通过分析报告内容体现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56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清洁消毒执行率100%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通过分析报告内容体现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6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控制生产场所的安全事故为0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通过分析报告内容体现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设备完好率≥96%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通过分析报告内容体现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58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highlight w:val="yellow"/>
              </w:rPr>
              <w:t>在统计方法上主要通过《目标完成情况分析报告》，但在统计方法上部分目标不够具体，现场沟通。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82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</w:t>
            </w:r>
            <w:r>
              <w:t>1.3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《前提方案》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《工器具、设备清洗消毒操作规程》 </w:t>
            </w:r>
            <w:r>
              <w:rPr>
                <w:rFonts w:hint="eastAsia" w:ascii="宋体" w:hAnsi="宋体"/>
              </w:rPr>
              <w:t>口《设备设施管理程序》、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8"/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88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特种设备（锅炉）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辅助设施（制水设备）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7"/>
            </w:pPr>
            <w:r>
              <w:rPr>
                <w:rFonts w:hint="eastAsia"/>
              </w:rPr>
              <w:t>提供了《工器具、设备清洗消毒操作规程》，另外提供有《生产设施设备台账》，包括真空机、热缩机、肉馅机、切片机、打包机、地牛、电子秤、传送带、冷冻库、周转库等。</w:t>
            </w:r>
          </w:p>
          <w:p>
            <w:pPr>
              <w:pStyle w:val="17"/>
            </w:pPr>
            <w:r>
              <w:rPr>
                <w:rFonts w:hint="eastAsia"/>
              </w:rPr>
              <w:t>提供2</w:t>
            </w:r>
            <w:r>
              <w:t>021</w:t>
            </w:r>
            <w:r>
              <w:rPr>
                <w:rFonts w:hint="eastAsia"/>
              </w:rPr>
              <w:t>年度设备维修计划（维修无法计划，沟通）及证据——经询问，表示设备较为简单，实际维保以设备的日常维保、清洁清理为主。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真空机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021.9.15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未明确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真空泵油、烫条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传送带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021.5.6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未明确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换油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8"/>
            </w:pPr>
          </w:p>
          <w:p>
            <w:r>
              <w:rPr>
                <w:rFonts w:hint="eastAsia"/>
              </w:rPr>
              <w:t>查看对设备维修的控制，抽查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4"/>
              <w:gridCol w:w="1417"/>
              <w:gridCol w:w="1560"/>
              <w:gridCol w:w="1984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4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2052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4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真空机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2052" w:type="dxa"/>
                </w:tcPr>
                <w:p>
                  <w:r>
                    <w:rPr>
                      <w:rFonts w:hint="eastAsia"/>
                    </w:rPr>
                    <w:t>更换密封垫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4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封膜机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09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2052" w:type="dxa"/>
                </w:tcPr>
                <w:p>
                  <w:r>
                    <w:rPr>
                      <w:rFonts w:hint="eastAsia"/>
                    </w:rPr>
                    <w:t>更换继电器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64" w:type="dxa"/>
                </w:tcPr>
                <w:p/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052" w:type="dxa"/>
                </w:tcPr>
                <w:p/>
              </w:tc>
            </w:tr>
          </w:tbl>
          <w:p>
            <w:bookmarkStart w:id="0" w:name="_Hlk103917622"/>
            <w:r>
              <w:rPr>
                <w:rFonts w:hint="eastAsia"/>
              </w:rPr>
              <w:t>设备维修管理较为简单，个别无相关验收</w:t>
            </w:r>
            <w:bookmarkEnd w:id="0"/>
            <w:r>
              <w:rPr>
                <w:rFonts w:hint="eastAsia"/>
              </w:rPr>
              <w:t>，沟通。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8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709"/>
              <w:gridCol w:w="2222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222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22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22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8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22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4" w:hRule="atLeast"/>
              </w:trPr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709" w:type="dxa"/>
                </w:tcPr>
                <w:p/>
              </w:tc>
              <w:tc>
                <w:tcPr>
                  <w:tcW w:w="2222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709" w:type="dxa"/>
                </w:tcPr>
                <w:p/>
              </w:tc>
              <w:tc>
                <w:tcPr>
                  <w:tcW w:w="2222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709" w:type="dxa"/>
                </w:tcPr>
                <w:p/>
              </w:tc>
              <w:tc>
                <w:tcPr>
                  <w:tcW w:w="2222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68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过程运行环境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Q7.1.4 </w:t>
            </w:r>
          </w:p>
          <w:p>
            <w:r>
              <w:rPr>
                <w:rFonts w:hint="eastAsia"/>
              </w:rPr>
              <w:t>F7.1.4</w:t>
            </w:r>
          </w:p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 口《运行控制程序》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工作安全防护；身心健康发展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/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2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1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Q8.1 </w:t>
            </w:r>
          </w:p>
        </w:tc>
        <w:tc>
          <w:tcPr>
            <w:tcW w:w="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条款、口《运行的策划和控制程序》</w:t>
            </w: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2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78"/>
              <w:gridCol w:w="15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牛羊分割和销售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原材料接收标准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符合相关验收标准和客户合同订单要求</w:t>
                  </w:r>
                </w:p>
              </w:tc>
              <w:tc>
                <w:tcPr>
                  <w:tcW w:w="1551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符合相关作业指导书标准和客户合同订单要求</w:t>
                  </w:r>
                </w:p>
              </w:tc>
              <w:tc>
                <w:tcPr>
                  <w:tcW w:w="1551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符合国标或行业标准</w:t>
                  </w:r>
                </w:p>
              </w:tc>
              <w:tc>
                <w:tcPr>
                  <w:tcW w:w="1551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1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78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有流程图、危害控制计划、作业指导书等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索证、检测、顾客满意度调查表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55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78" w:type="dxa"/>
                </w:tcPr>
                <w:p>
                  <w:r>
                    <w:rPr>
                      <w:rFonts w:hint="eastAsia"/>
                    </w:rPr>
                    <w:t>识别了虫害消杀、计量设备检定、产品第三方检验为外包过程，执行外包合同和《采购控制程序》</w:t>
                  </w:r>
                </w:p>
              </w:tc>
              <w:tc>
                <w:tcPr>
                  <w:tcW w:w="1551" w:type="dxa"/>
                </w:tcPr>
                <w:p/>
              </w:tc>
            </w:tr>
          </w:tbl>
          <w:p/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00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产品和服务的设计开发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Q8.3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质量和食品安全管理手册中8</w:t>
            </w:r>
            <w:r>
              <w:t>.3</w:t>
            </w:r>
            <w:r>
              <w:rPr>
                <w:rFonts w:hint="eastAsia"/>
              </w:rPr>
              <w:t xml:space="preserve">条款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00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组织主要为牛羊分割和销售，产品分割和销售工作流程简单、工艺传统、稳定，审核周期内没有发生设计开发情况，今后如有发生按照《设计和开发控制程序》执行。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68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/>
              </w:rPr>
              <w:t>《操作规程》、口《图纸》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7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组织应在受控条件下进行牛羊分割和销售生产和服务提供。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《工艺指导书》、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17"/>
            </w:pPr>
            <w:r>
              <w:rPr>
                <w:rFonts w:hint="eastAsia"/>
              </w:rPr>
              <w:t>牛羊肉分割和销售：牛羊肉验收=</w:t>
            </w:r>
            <w:r>
              <w:t>&gt;</w:t>
            </w:r>
            <w:r>
              <w:rPr>
                <w:rFonts w:hint="eastAsia"/>
              </w:rPr>
              <w:t>分割=</w:t>
            </w:r>
            <w:r>
              <w:t>&gt;</w:t>
            </w:r>
            <w:r>
              <w:rPr>
                <w:rFonts w:hint="eastAsia"/>
              </w:rPr>
              <w:t>包装=</w:t>
            </w:r>
            <w:r>
              <w:t>&gt;</w:t>
            </w:r>
            <w:r>
              <w:rPr>
                <w:rFonts w:hint="eastAsia"/>
              </w:rPr>
              <w:t>金属探测=</w:t>
            </w:r>
            <w:r>
              <w:t>&gt;</w:t>
            </w:r>
            <w:r>
              <w:rPr>
                <w:rFonts w:hint="eastAsia"/>
              </w:rPr>
              <w:t>运输销售</w:t>
            </w:r>
          </w:p>
          <w:p>
            <w:pPr>
              <w:pStyle w:val="17"/>
            </w:pPr>
            <w:r>
              <w:rPr>
                <w:rFonts w:hint="eastAsia"/>
              </w:rPr>
              <w:t>远程查看现场流程与文件规定基本一致。</w:t>
            </w:r>
          </w:p>
          <w:p>
            <w:r>
              <w:rPr>
                <w:rFonts w:hint="eastAsia"/>
              </w:rPr>
              <w:t>提供了牛羊分割和销售生产过程管理证据，按照追溯思路查生产计划单中“4月3</w:t>
            </w:r>
            <w:r>
              <w:t>0</w:t>
            </w:r>
            <w:r>
              <w:rPr>
                <w:rFonts w:hint="eastAsia"/>
              </w:rPr>
              <w:t>日前完成的</w:t>
            </w:r>
            <w:r>
              <w:t>4.5</w:t>
            </w:r>
            <w:r>
              <w:rPr>
                <w:rFonts w:hint="eastAsia"/>
              </w:rPr>
              <w:t>吨的福澳订单”，抽日期为2</w:t>
            </w:r>
            <w:r>
              <w:t>022.4.23</w:t>
            </w:r>
            <w:r>
              <w:rPr>
                <w:rFonts w:hint="eastAsia"/>
              </w:rPr>
              <w:t>牛肉的生产过程管理记录：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12"/>
              <w:gridCol w:w="1621"/>
              <w:gridCol w:w="1824"/>
              <w:gridCol w:w="2410"/>
              <w:gridCol w:w="1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工序名称/记录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关键特性要求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执行/实测结果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牛肉分割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022.4.22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原料入库台账（牛胴体）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入库品种、数量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牛胴体：2</w:t>
                  </w:r>
                  <w:r>
                    <w:t>415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022.4.23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分割-《牛羊肉接收及分割生产记录》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原辅料批次、数量等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原料数量：7头2</w:t>
                  </w:r>
                  <w:r>
                    <w:t>415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原料批次：</w:t>
                  </w:r>
                  <w:r>
                    <w:t>220422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成品批次：</w:t>
                  </w:r>
                  <w:r>
                    <w:t>220424</w:t>
                  </w:r>
                </w:p>
                <w:p>
                  <w:pPr>
                    <w:pStyle w:val="17"/>
                  </w:pPr>
                  <w:r>
                    <w:rPr>
                      <w:rFonts w:hint="eastAsia"/>
                    </w:rPr>
                    <w:t>——牛腩块-</w:t>
                  </w:r>
                  <w:r>
                    <w:t>250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17"/>
                  </w:pPr>
                  <w:r>
                    <w:rPr>
                      <w:rFonts w:hint="eastAsia"/>
                    </w:rPr>
                    <w:t>——牛腱子-</w:t>
                  </w:r>
                  <w:r>
                    <w:t>141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17"/>
                  </w:pPr>
                  <w:r>
                    <w:rPr>
                      <w:rFonts w:hint="eastAsia"/>
                    </w:rPr>
                    <w:t>——肥牛-</w:t>
                  </w:r>
                  <w:r>
                    <w:t>900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1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——里脊-</w:t>
                  </w:r>
                  <w:r>
                    <w:t>31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022.4.23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分割-《冷分割温度监控记录》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分割间温度≤1</w:t>
                  </w:r>
                  <w:r>
                    <w:t>2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t>7</w:t>
                  </w:r>
                  <w:r>
                    <w:rPr>
                      <w:rFonts w:hint="eastAsia"/>
                    </w:rPr>
                    <w:t>：0</w:t>
                  </w:r>
                  <w: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t>17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每两小时一次</w:t>
                  </w:r>
                  <w:r>
                    <w:t>11.2/</w:t>
                  </w:r>
                  <w:r>
                    <w:rPr>
                      <w:rFonts w:hint="eastAsia"/>
                    </w:rPr>
                    <w:t>1</w:t>
                  </w:r>
                  <w:r>
                    <w:t>1.5/</w:t>
                  </w:r>
                  <w:r>
                    <w:rPr>
                      <w:rFonts w:hint="eastAsia"/>
                    </w:rPr>
                    <w:t>1</w:t>
                  </w:r>
                  <w:r>
                    <w:t>1.3</w:t>
                  </w:r>
                  <w:r>
                    <w:rPr>
                      <w:rFonts w:hint="eastAsia"/>
                    </w:rPr>
                    <w:t>/</w:t>
                  </w:r>
                  <w:r>
                    <w:t>11.2</w:t>
                  </w:r>
                  <w:r>
                    <w:rPr>
                      <w:rFonts w:hint="eastAsia"/>
                    </w:rPr>
                    <w:t>/</w:t>
                  </w:r>
                  <w:r>
                    <w:t>11.2</w:t>
                  </w:r>
                  <w:r>
                    <w:rPr>
                      <w:rFonts w:hint="eastAsia"/>
                    </w:rPr>
                    <w:t>/</w:t>
                  </w:r>
                  <w:r>
                    <w:t>11.1</w:t>
                  </w:r>
                  <w:r>
                    <w:rPr>
                      <w:rFonts w:hint="eastAsia"/>
                    </w:rPr>
                    <w:t>（℃）；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022.4.23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CP3</w:t>
                  </w:r>
                  <w:r>
                    <w:rPr>
                      <w:rFonts w:hint="eastAsia"/>
                    </w:rPr>
                    <w:t>金属探测监控记录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探测/检测结果是否有效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9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正常……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7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（但</w:t>
                  </w:r>
                  <w:bookmarkStart w:id="1" w:name="_Hlk103920802"/>
                  <w:r>
                    <w:rPr>
                      <w:rFonts w:hint="eastAsia"/>
                    </w:rPr>
                    <w:t>未记录不同测试块的结果情况，沟通</w:t>
                  </w:r>
                  <w:bookmarkEnd w:id="1"/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022.4.23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成品入库记录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入库数量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rFonts w:hint="eastAsia"/>
                    </w:rPr>
                    <w:t>牛腩块-</w:t>
                  </w:r>
                  <w:r>
                    <w:t>250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17"/>
                  </w:pPr>
                  <w:r>
                    <w:rPr>
                      <w:rFonts w:hint="eastAsia"/>
                    </w:rPr>
                    <w:t>牛腱子-</w:t>
                  </w:r>
                  <w:r>
                    <w:t>141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17"/>
                  </w:pPr>
                  <w:r>
                    <w:rPr>
                      <w:rFonts w:hint="eastAsia"/>
                    </w:rPr>
                    <w:t>肥牛-</w:t>
                  </w:r>
                  <w:r>
                    <w:t>900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17"/>
                  </w:pPr>
                  <w:r>
                    <w:rPr>
                      <w:rFonts w:hint="eastAsia"/>
                    </w:rPr>
                    <w:t>里脊-</w:t>
                  </w:r>
                  <w:r>
                    <w:t>31</w:t>
                  </w:r>
                  <w:r>
                    <w:rPr>
                      <w:rFonts w:hint="eastAsia"/>
                    </w:rPr>
                    <w:t>kg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022.4.23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成品库房温湿度监控记录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温度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7</w:t>
                  </w:r>
                  <w:r>
                    <w:rPr>
                      <w:rFonts w:hint="eastAsia"/>
                    </w:rPr>
                    <w:t>:</w:t>
                  </w:r>
                  <w:r>
                    <w:t>05</w:t>
                  </w:r>
                  <w:r>
                    <w:rPr>
                      <w:rFonts w:hint="eastAsia"/>
                    </w:rPr>
                    <w:t>：-</w:t>
                  </w:r>
                  <w:r>
                    <w:t>19.0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022.4.22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运输工具卫生检查记录</w:t>
                  </w: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车牌及车厢卫生，冷机</w:t>
                  </w: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车牌：京J</w:t>
                  </w:r>
                  <w:r>
                    <w:t>KA683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检查合格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276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另外，提供了车辆、车间消毒记录、消毒剂配置及使用记录等。基本符合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2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rPr>
                      <w:rFonts w:hint="eastAsia"/>
                    </w:rPr>
                  </w:pPr>
                </w:p>
              </w:tc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rPr>
                      <w:rFonts w:hint="eastAsia"/>
                    </w:rPr>
                  </w:pP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left="0" w:firstLine="0" w:firstLineChars="0"/>
            </w:pPr>
            <w:r>
              <w:rPr>
                <w:rFonts w:hint="eastAsia"/>
              </w:rPr>
              <w:t>另外，抽查2</w:t>
            </w:r>
            <w:r>
              <w:t>021.9</w:t>
            </w:r>
            <w:r>
              <w:rPr>
                <w:rFonts w:hint="eastAsia"/>
              </w:rPr>
              <w:t>-</w:t>
            </w:r>
            <w:r>
              <w:t>2022.4</w:t>
            </w:r>
            <w:r>
              <w:rPr>
                <w:rFonts w:hint="eastAsia"/>
              </w:rPr>
              <w:t>期间的</w:t>
            </w:r>
            <w:r>
              <w:t>4</w:t>
            </w:r>
            <w:r>
              <w:rPr>
                <w:rFonts w:hint="eastAsia"/>
              </w:rPr>
              <w:t>批次牛肉分割销售，与上述控制基本一致。目前羊肉分割销售数量较少。远程观察，</w:t>
            </w:r>
            <w:bookmarkStart w:id="2" w:name="_Hlk103924258"/>
            <w:r>
              <w:rPr>
                <w:rFonts w:hint="eastAsia"/>
              </w:rPr>
              <w:t>抽真空出气时间26-28s，封口加热时间：2.5s，温度：中档,压力0.1mpa；但未保留记录，沟通。</w:t>
            </w:r>
            <w:bookmarkEnd w:id="2"/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查看需要确认的过程控制：无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》（适用时）</w:t>
            </w:r>
          </w:p>
          <w:tbl>
            <w:tblPr>
              <w:tblStyle w:val="10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980"/>
              <w:gridCol w:w="7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结果确认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2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>根据生产订单进行投料生产，避免投错料；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对于食品行业的运输控制：</w:t>
            </w:r>
            <w:r>
              <w:rPr>
                <w:rFonts w:hint="eastAsia"/>
                <w:u w:val="single"/>
              </w:rPr>
              <w:t>见销售部门审核记录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7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是，主要通过产品标签标识进行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是，较为简单，已现场沟通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否，</w:t>
            </w:r>
            <w:r>
              <w:rPr>
                <w:rFonts w:hint="eastAsia"/>
                <w:u w:val="single"/>
              </w:rPr>
              <w:t>见质检部8.7条款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68" w:hRule="atLeast"/>
        </w:trPr>
        <w:tc>
          <w:tcPr>
            <w:tcW w:w="2112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  <w:bookmarkStart w:id="3" w:name="_GoBack"/>
            <w:bookmarkEnd w:id="3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20" w:hRule="atLeast"/>
        </w:trPr>
        <w:tc>
          <w:tcPr>
            <w:tcW w:w="2112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位于</w:t>
            </w:r>
            <w:r>
              <w:rPr>
                <w:szCs w:val="21"/>
              </w:rPr>
              <w:t>河北省廊坊市大厂回族自治县南王庄工贸小区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u w:val="single"/>
              </w:rPr>
              <w:t>厂区面积：   6050  ㎡ ；建筑面积  4100  ㎡；生产加工间1个；冷冻库3个【含成品库1个】；检验室 1 个；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查看牛羊分割和销售生产服务提供过程管理，与修改后的流程图基本一致。</w:t>
            </w:r>
          </w:p>
          <w:p>
            <w:pPr>
              <w:pStyle w:val="8"/>
              <w:ind w:left="0" w:firstLine="0" w:firstLineChars="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更衣室内配备有更衣柜，洗手、消毒设施，一阶段发现更衣室更衣柜中有杂物，二阶段已经基本清理完成。基本符合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产品分割工艺单一，车间划分简单。对物流和人流有基本划分;</w:t>
            </w:r>
          </w:p>
          <w:p>
            <w:pPr>
              <w:pStyle w:val="8"/>
              <w:ind w:left="0" w:firstLine="0" w:firstLineChars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使用城市管网用水。提供了每年送外部检验，提供了外检报告（见质检部审核记录），日常由生产部进行感官查看，未保留记录，沟通。</w:t>
            </w:r>
          </w:p>
          <w:p>
            <w:pPr>
              <w:pStyle w:val="8"/>
              <w:ind w:left="0"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生产加工用水主要以清洁消毒为主；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远程视频</w:t>
            </w:r>
            <w:r>
              <w:rPr>
                <w:rFonts w:hint="eastAsia"/>
                <w:highlight w:val="none"/>
              </w:rPr>
              <w:t>在</w:t>
            </w:r>
            <w:r>
              <w:rPr>
                <w:rFonts w:hint="eastAsia"/>
                <w:highlight w:val="none"/>
                <w:u w:val="single"/>
              </w:rPr>
              <w:t>车间入口、仓库门口有挡鼠板，与平面图基本一致；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车间外围、厂区的鼠害消杀委托第三方，（三河市桃园消杀服务部【个体工商户】）进行，但未保留消杀记录，已现场沟通；</w:t>
            </w:r>
          </w:p>
          <w:p>
            <w:pPr>
              <w:ind w:firstLine="420" w:firstLineChars="2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远程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视频查看在车间入口处安装灭蝇灯，一阶段发现蚊蝇有点多，二阶段验证已进行整改；提供有《灭蝇灭鼠检查记录》，每周1次；</w:t>
            </w:r>
          </w:p>
          <w:p>
            <w:pPr>
              <w:ind w:firstLine="420" w:firstLineChars="2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污水统一排放到工贸小区污水处理系统，县里统一集中处理；</w:t>
            </w:r>
          </w:p>
          <w:p>
            <w:pPr>
              <w:pStyle w:val="8"/>
              <w:ind w:left="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废弃物：主要是废弃包材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分割余料销售给本地肉馅客户”，但未保留销售证据，已现场沟通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”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配备的生产设备基本满足牛羊分割和销售等生产要求。见7</w:t>
            </w:r>
            <w:r>
              <w:rPr>
                <w:u w:val="single"/>
              </w:rPr>
              <w:t>.1.3</w:t>
            </w:r>
            <w:r>
              <w:rPr>
                <w:rFonts w:hint="eastAsia"/>
                <w:u w:val="single"/>
              </w:rPr>
              <w:t>审核记录。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设备一般以清洁为主为简单，提供了设备消毒记录表，查《消毒记录》，用1</w:t>
            </w:r>
            <w:r>
              <w:rPr>
                <w:u w:val="single"/>
              </w:rPr>
              <w:t>00</w:t>
            </w:r>
            <w:r>
              <w:rPr>
                <w:rFonts w:hint="eastAsia"/>
                <w:u w:val="single"/>
              </w:rPr>
              <w:t>ppm的8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消毒液进行喷雾消毒，时间为每天一次，抽2</w:t>
            </w:r>
            <w:r>
              <w:rPr>
                <w:u w:val="single"/>
              </w:rPr>
              <w:t>021.12.30</w:t>
            </w:r>
            <w:r>
              <w:rPr>
                <w:rFonts w:hint="eastAsia"/>
                <w:u w:val="single"/>
              </w:rPr>
              <w:t>，消毒范围为操作台、地面、刀具、设备，消毒员为赵</w:t>
            </w:r>
            <w:r>
              <w:rPr>
                <w:rFonts w:hint="eastAsia"/>
                <w:u w:val="single"/>
                <w:lang w:val="en-US" w:eastAsia="zh-CN"/>
              </w:rPr>
              <w:t>新</w:t>
            </w:r>
            <w:r>
              <w:rPr>
                <w:rFonts w:hint="eastAsia"/>
                <w:u w:val="single"/>
              </w:rPr>
              <w:t xml:space="preserve">。 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另外提供了《车间卫生检查记录》，对更衣室、生产车间、包装车间的卫生状况共1</w:t>
            </w: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>项内容进行检查，抽2</w:t>
            </w:r>
            <w:r>
              <w:rPr>
                <w:u w:val="single"/>
              </w:rPr>
              <w:t>021.11.17</w:t>
            </w:r>
            <w:r>
              <w:rPr>
                <w:rFonts w:hint="eastAsia"/>
                <w:u w:val="single"/>
              </w:rPr>
              <w:t>检查记录，结果均为“√”，检查人为杨凤龙。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见“采购部”审核记录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有原材料采购验证记录及入库数量登记表、产品销售台账，详见采购部、销售部审核记录。</w:t>
            </w:r>
          </w:p>
          <w:p>
            <w:pPr>
              <w:ind w:firstLine="210" w:firstLineChars="1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远程查看原料、包材及成品库环境卫生</w:t>
            </w:r>
            <w:r>
              <w:rPr>
                <w:rFonts w:hint="eastAsia"/>
                <w:u w:val="single"/>
                <w:lang w:val="en-US" w:eastAsia="zh-CN"/>
              </w:rPr>
              <w:t>基本满足要求；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远程查看仓库温度控制：-18.4℃（成品库）、中转库（-19.6℃）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10" w:leftChars="100"/>
            </w:pPr>
            <w:r>
              <w:rPr>
                <w:rFonts w:hint="eastAsia"/>
                <w:u w:val="single"/>
              </w:rPr>
              <w:t>该组织牛羊分割和销售，对人流、物流进行了明确，基本按照人流图进入加工场所；</w:t>
            </w:r>
          </w:p>
          <w:p>
            <w:pPr>
              <w:pStyle w:val="8"/>
              <w:ind w:left="0"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原料（主要为牛胴体）、包材按照物流图分别进入加工工序、成品包装工序；</w:t>
            </w:r>
          </w:p>
          <w:p>
            <w:pPr>
              <w:pStyle w:val="17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加工场所分为：牛羊肉分割包装车间、原料缓化库、牛羊肉片车间、外包车间、成品库、包材库等；车间各工艺流程有基本分隔。</w:t>
            </w:r>
          </w:p>
          <w:p>
            <w:pPr>
              <w:pStyle w:val="17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化学品有简单标识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有《化学品使用台账》，有使用人、验证人签字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每天工作结束主要进行清水清洁为主，提供了《消毒记录》（包括厂区、地面、操作台、设备等）、《运输工具消毒记录》。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健康证见“办公室”审核记录。</w:t>
            </w:r>
          </w:p>
          <w:p>
            <w:pPr>
              <w:pStyle w:val="2"/>
              <w:ind w:firstLine="210" w:firstLineChars="10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提供有《员工每日健康状况登记表》，包含健康码、行程卡等疫情防控信息；</w:t>
            </w:r>
          </w:p>
          <w:p>
            <w:pPr>
              <w:pStyle w:val="2"/>
              <w:ind w:firstLine="210" w:firstLineChars="100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提供有《工作服清洗消毒记录》，《车间人员消毒记录》，包括手部、鞋靴的消毒；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该企业的主要产品是牛羊分割和销售等。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疫情防控：见办公室审核记录；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8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  <w:noWrap w:val="0"/>
            <w:vAlign w:val="top"/>
          </w:tcPr>
          <w:p>
            <w:r>
              <w:t>标识和可追溯性</w:t>
            </w:r>
          </w:p>
        </w:tc>
        <w:tc>
          <w:tcPr>
            <w:tcW w:w="1012" w:type="dxa"/>
            <w:gridSpan w:val="3"/>
            <w:vMerge w:val="restart"/>
            <w:shd w:val="clear" w:color="auto" w:fill="DBEEF3" w:themeFill="accent5" w:themeFillTint="32"/>
            <w:noWrap w:val="0"/>
            <w:vAlign w:val="top"/>
          </w:tcPr>
          <w:p>
            <w:r>
              <w:t>F8.3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Q8.5.2</w:t>
            </w:r>
          </w:p>
        </w:tc>
        <w:tc>
          <w:tcPr>
            <w:tcW w:w="745" w:type="dxa"/>
            <w:gridSpan w:val="2"/>
            <w:shd w:val="clear" w:color="auto" w:fill="DBEEF3" w:themeFill="accent5" w:themeFillTint="32"/>
            <w:noWrap w:val="0"/>
            <w:vAlign w:val="top"/>
          </w:tcPr>
          <w:p>
            <w:r>
              <w:t>文件名称</w:t>
            </w:r>
          </w:p>
        </w:tc>
        <w:tc>
          <w:tcPr>
            <w:tcW w:w="9295" w:type="dxa"/>
            <w:gridSpan w:val="2"/>
            <w:shd w:val="clear" w:color="auto" w:fill="DBEEF3" w:themeFill="accent5" w:themeFillTint="3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highlight w:val="none"/>
              </w:rPr>
              <w:t>如：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highlight w:val="none"/>
              </w:rPr>
              <w:t>8.</w:t>
            </w:r>
            <w:r>
              <w:rPr>
                <w:rFonts w:hint="eastAsia"/>
                <w:highlight w:val="none"/>
                <w:lang w:val="en-US" w:eastAsia="zh-CN"/>
              </w:rPr>
              <w:t>5.2</w:t>
            </w:r>
            <w:r>
              <w:rPr>
                <w:highlight w:val="none"/>
              </w:rPr>
              <w:t>条款、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标识和可追溯性控制程序</w:t>
            </w:r>
            <w:r>
              <w:rPr>
                <w:szCs w:val="16"/>
                <w:highlight w:val="none"/>
              </w:rPr>
              <w:t>》</w:t>
            </w:r>
            <w:r>
              <w:rPr>
                <w:highlight w:val="none"/>
              </w:rPr>
              <w:t>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《前提方案》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eastAsia="zh-CN"/>
              </w:rPr>
              <w:t>《不合格品和产品撤回控制程序》、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留样管理规定</w:t>
            </w:r>
            <w:r>
              <w:rPr>
                <w:rFonts w:hint="eastAsia"/>
              </w:rPr>
              <w:t>》</w:t>
            </w:r>
          </w:p>
        </w:tc>
        <w:tc>
          <w:tcPr>
            <w:tcW w:w="1548" w:type="dxa"/>
            <w:vMerge w:val="restart"/>
            <w:shd w:val="clear" w:color="auto" w:fill="DBEEF3" w:themeFill="accent5" w:themeFillTint="32"/>
            <w:noWrap w:val="0"/>
            <w:vAlign w:val="top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58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  <w:noWrap w:val="0"/>
            <w:vAlign w:val="top"/>
          </w:tcPr>
          <w:p/>
        </w:tc>
        <w:tc>
          <w:tcPr>
            <w:tcW w:w="1012" w:type="dxa"/>
            <w:gridSpan w:val="3"/>
            <w:vMerge w:val="continue"/>
            <w:shd w:val="clear" w:color="auto" w:fill="DBEEF3" w:themeFill="accent5" w:themeFillTint="32"/>
            <w:noWrap w:val="0"/>
            <w:vAlign w:val="top"/>
          </w:tcPr>
          <w:p/>
        </w:tc>
        <w:tc>
          <w:tcPr>
            <w:tcW w:w="745" w:type="dxa"/>
            <w:gridSpan w:val="2"/>
            <w:shd w:val="clear" w:color="auto" w:fill="DBEEF3" w:themeFill="accent5" w:themeFillTint="32"/>
            <w:noWrap w:val="0"/>
            <w:vAlign w:val="top"/>
          </w:tcPr>
          <w:p>
            <w:r>
              <w:t>运行证据</w:t>
            </w:r>
          </w:p>
        </w:tc>
        <w:tc>
          <w:tcPr>
            <w:tcW w:w="9295" w:type="dxa"/>
            <w:gridSpan w:val="2"/>
            <w:shd w:val="clear" w:color="auto" w:fill="DBEEF3" w:themeFill="accent5" w:themeFillTint="32"/>
            <w:noWrap w:val="0"/>
            <w:vAlign w:val="top"/>
          </w:tcPr>
          <w:p>
            <w:r>
              <w:t>产品的检验状态标识：</w:t>
            </w:r>
            <w:r>
              <w:rPr/>
              <w:sym w:font="Wingdings" w:char="00A8"/>
            </w:r>
            <w:r>
              <w:t xml:space="preserve">待检 </w:t>
            </w:r>
            <w:r>
              <w:rPr/>
              <w:sym w:font="Wingdings" w:char="00A8"/>
            </w:r>
            <w:r>
              <w:t xml:space="preserve">待下结论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>
            <w:pPr>
              <w:pStyle w:val="3"/>
              <w:ind w:left="0" w:leftChars="0" w:firstLine="0" w:firstLineChars="0"/>
            </w:pPr>
          </w:p>
          <w:p>
            <w:r>
              <w:t>原材料的唯一性标识方式：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3"/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t xml:space="preserve">半成品的唯一性标识方式： 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3"/>
            </w:pPr>
          </w:p>
          <w:p>
            <w: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组织于</w:t>
            </w:r>
            <w:r>
              <w:rPr>
                <w:rFonts w:hint="eastAsia"/>
                <w:u w:val="single"/>
              </w:rPr>
              <w:t xml:space="preserve">  202</w:t>
            </w:r>
            <w:r>
              <w:rPr>
                <w:rFonts w:hint="eastAsia"/>
                <w:u w:val="single"/>
                <w:lang w:val="en-US" w:eastAsia="zh-CN"/>
              </w:rPr>
              <w:t>2</w:t>
            </w:r>
            <w:r>
              <w:rPr>
                <w:rFonts w:hint="eastAsia"/>
                <w:u w:val="single"/>
              </w:rPr>
              <w:t xml:space="preserve"> 年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月  </w:t>
            </w:r>
            <w:r>
              <w:rPr>
                <w:rFonts w:hint="eastAsia"/>
                <w:u w:val="single"/>
                <w:lang w:val="en-US" w:eastAsia="zh-CN"/>
              </w:rPr>
              <w:t>23</w:t>
            </w:r>
            <w:r>
              <w:rPr>
                <w:rFonts w:hint="eastAsia"/>
                <w:u w:val="single"/>
              </w:rPr>
              <w:t xml:space="preserve"> 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1968"/>
              <w:gridCol w:w="1524"/>
              <w:gridCol w:w="1030"/>
              <w:gridCol w:w="133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96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20220</w:t>
                  </w:r>
                  <w:r>
                    <w:rPr>
                      <w:rFonts w:ascii="宋体" w:hAnsi="宋体"/>
                    </w:rPr>
                    <w:t>122</w:t>
                  </w:r>
                </w:p>
              </w:tc>
              <w:tc>
                <w:tcPr>
                  <w:tcW w:w="19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牛肉（水分大，有脱水现象）</w:t>
                  </w: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20</w:t>
                  </w:r>
                  <w:r>
                    <w:rPr>
                      <w:rFonts w:hint="eastAsia"/>
                    </w:rPr>
                    <w:t>220</w:t>
                  </w:r>
                  <w:r>
                    <w:t>122</w:t>
                  </w:r>
                </w:p>
              </w:tc>
              <w:tc>
                <w:tcPr>
                  <w:tcW w:w="103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20</w:t>
                  </w:r>
                  <w:r>
                    <w:rPr>
                      <w:rFonts w:hint="eastAsia"/>
                    </w:rPr>
                    <w:t>220</w:t>
                  </w:r>
                  <w:r>
                    <w:t>122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未明确</w:t>
                  </w:r>
                </w:p>
              </w:tc>
              <w:tc>
                <w:tcPr>
                  <w:tcW w:w="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模拟回收隔离存放，销毁处理</w:t>
                  </w:r>
                </w:p>
              </w:tc>
            </w:tr>
          </w:tbl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模拟过程中未对该批次模拟召回采购等过程的明确，也未附原始记录；已现场沟通；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12 </w:t>
            </w:r>
            <w:r>
              <w:rPr>
                <w:rFonts w:hint="eastAsia"/>
              </w:rPr>
              <w:t>个月。</w:t>
            </w:r>
          </w:p>
          <w:p/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产品留样</w:t>
            </w:r>
            <w:r>
              <w:rPr>
                <w:rFonts w:hint="eastAsia"/>
                <w:highlight w:val="none"/>
                <w:lang w:eastAsia="zh-CN"/>
              </w:rPr>
              <w:t>：【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】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生产日期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/批号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" w:hRule="atLeast"/>
              </w:trPr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noWrap w:val="0"/>
                  <w:vAlign w:val="top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3"/>
              <w:rPr>
                <w:rFonts w:hint="default" w:eastAsia="宋体"/>
                <w:lang w:val="en-US" w:eastAsia="zh-CN"/>
              </w:rPr>
            </w:pPr>
          </w:p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 w:val="continue"/>
            <w:shd w:val="clear" w:color="auto" w:fill="DBEEF3" w:themeFill="accent5" w:themeFillTint="3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69" w:hRule="atLeast"/>
        </w:trPr>
        <w:tc>
          <w:tcPr>
            <w:tcW w:w="2126" w:type="dxa"/>
            <w:gridSpan w:val="3"/>
            <w:shd w:val="clear" w:color="auto" w:fill="DBEEF3" w:themeFill="accent5" w:themeFillTint="32"/>
            <w:noWrap w:val="0"/>
            <w:vAlign w:val="top"/>
          </w:tcPr>
          <w:p/>
        </w:tc>
        <w:tc>
          <w:tcPr>
            <w:tcW w:w="1012" w:type="dxa"/>
            <w:gridSpan w:val="3"/>
            <w:shd w:val="clear" w:color="auto" w:fill="DBEEF3" w:themeFill="accent5" w:themeFillTint="32"/>
            <w:noWrap w:val="0"/>
            <w:vAlign w:val="top"/>
          </w:tcPr>
          <w:p/>
        </w:tc>
        <w:tc>
          <w:tcPr>
            <w:tcW w:w="745" w:type="dxa"/>
            <w:gridSpan w:val="2"/>
            <w:shd w:val="clear" w:color="auto" w:fill="DBEEF3" w:themeFill="accent5" w:themeFillTint="32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t>观察</w:t>
            </w:r>
          </w:p>
        </w:tc>
        <w:tc>
          <w:tcPr>
            <w:tcW w:w="9295" w:type="dxa"/>
            <w:gridSpan w:val="2"/>
            <w:shd w:val="clear" w:color="auto" w:fill="DBEEF3" w:themeFill="accent5" w:themeFillTint="32"/>
            <w:noWrap w:val="0"/>
            <w:vAlign w:val="top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库温11.3℃</w:t>
            </w:r>
          </w:p>
          <w:p>
            <w:pPr>
              <w:rPr>
                <w:rFonts w:hint="default" w:eastAsia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t>在生产或服务场所对半成品的标识情况：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查看现场：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分割工序产品分区存放，有周转筐盛放分割后余料产品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库温：-19.6℃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t>在</w:t>
            </w:r>
            <w:r>
              <w:rPr>
                <w:rFonts w:ascii="Times New Roman" w:hAnsi="Times New Roman" w:eastAsia="宋体" w:cs="Times New Roman"/>
              </w:rPr>
              <w:t>原材料库房的标识情况：</w:t>
            </w: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eq \o\ac(□,√)</w:instrText>
            </w:r>
            <w:r>
              <w:rPr>
                <w:rFonts w:ascii="Times New Roman" w:hAnsi="Times New Roman" w:eastAsia="宋体" w:cs="Times New Roman"/>
              </w:rPr>
              <w:fldChar w:fldCharType="end"/>
            </w:r>
            <w:r>
              <w:rPr>
                <w:rFonts w:ascii="Times New Roman" w:hAnsi="Times New Roman" w:eastAsia="宋体" w:cs="Times New Roman"/>
              </w:rPr>
              <w:t xml:space="preserve">区分清楚  </w:t>
            </w: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eq \o\ac(□,√)</w:instrText>
            </w:r>
            <w:r>
              <w:rPr>
                <w:rFonts w:ascii="Times New Roman" w:hAnsi="Times New Roman" w:eastAsia="宋体" w:cs="Times New Roman"/>
              </w:rPr>
              <w:fldChar w:fldCharType="end"/>
            </w:r>
            <w:r>
              <w:rPr>
                <w:rFonts w:ascii="Times New Roman" w:hAnsi="Times New Roman" w:eastAsia="宋体" w:cs="Times New Roman"/>
              </w:rPr>
              <w:t xml:space="preserve">防护得当 </w:t>
            </w:r>
            <w:r>
              <w:rPr>
                <w:rFonts w:ascii="Times New Roman" w:hAnsi="Times New Roman" w:eastAsia="宋体" w:cs="Times New Roman"/>
              </w:rPr>
              <w:sym w:font="Wingdings" w:char="00A8"/>
            </w:r>
            <w:r>
              <w:rPr>
                <w:rFonts w:ascii="Times New Roman" w:hAnsi="Times New Roman" w:eastAsia="宋体" w:cs="Times New Roman"/>
              </w:rPr>
              <w:t>不适宜说明：</w:t>
            </w:r>
            <w:r>
              <w:rPr>
                <w:rFonts w:hint="eastAsia" w:cs="Times New Roman"/>
                <w:u w:val="single"/>
                <w:lang w:val="en-US" w:eastAsia="zh-CN"/>
              </w:rPr>
              <w:t>包材库，分类分区存放，</w:t>
            </w:r>
          </w:p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t>在半成品库房的标识情况：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库温：-18.3℃</w:t>
            </w:r>
          </w:p>
        </w:tc>
        <w:tc>
          <w:tcPr>
            <w:tcW w:w="1548" w:type="dxa"/>
            <w:shd w:val="clear" w:color="auto" w:fill="DBEEF3" w:themeFill="accent5" w:themeFillTint="32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t>F8.4</w:t>
            </w:r>
          </w:p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\o\ac(□,√)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《质量和食品安全管理手册》8.1.3条款、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《突发事件准备和响应控制程序》</w:t>
            </w:r>
          </w:p>
        </w:tc>
        <w:tc>
          <w:tcPr>
            <w:tcW w:w="1550" w:type="dxa"/>
            <w:gridSpan w:val="2"/>
            <w:shd w:val="clear" w:color="auto" w:fill="DBEEF3" w:themeFill="accent5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食品安全事故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水的中断 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《应急救援预案》、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《突发事件准备和响应控制程序》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《火灾演练》 </w:t>
            </w:r>
            <w:r>
              <w:rPr>
                <w:u w:val="single"/>
              </w:rPr>
              <w:t xml:space="preserve">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消防演习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2022-04-11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2022-04-11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         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550" w:type="dxa"/>
            <w:gridSpan w:val="2"/>
            <w:shd w:val="clear" w:color="auto" w:fill="DBEEF3" w:themeFill="accent5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6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撤回/召回</w:t>
            </w:r>
          </w:p>
          <w:p/>
        </w:tc>
        <w:tc>
          <w:tcPr>
            <w:tcW w:w="1010" w:type="dxa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3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/>
        </w:tc>
        <w:tc>
          <w:tcPr>
            <w:tcW w:w="745" w:type="dxa"/>
            <w:gridSpan w:val="3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7" w:type="dxa"/>
            <w:gridSpan w:val="3"/>
            <w:shd w:val="clear" w:color="auto" w:fill="DBEEF3" w:themeFill="accent5" w:themeFillTint="32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highlight w:val="none"/>
              </w:rPr>
              <w:t>8.</w:t>
            </w:r>
            <w:r>
              <w:rPr>
                <w:rFonts w:hint="eastAsia"/>
                <w:highlight w:val="none"/>
                <w:lang w:val="en-US" w:eastAsia="zh-CN"/>
              </w:rPr>
              <w:t>1.3</w:t>
            </w:r>
            <w:r>
              <w:rPr>
                <w:highlight w:val="none"/>
              </w:rPr>
              <w:t>条款、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标识和可追溯性控制程序</w:t>
            </w:r>
            <w:r>
              <w:rPr>
                <w:szCs w:val="16"/>
                <w:highlight w:val="none"/>
              </w:rPr>
              <w:t>》</w:t>
            </w:r>
            <w:r>
              <w:rPr>
                <w:highlight w:val="none"/>
              </w:rPr>
              <w:t>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《前提方案》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eastAsia="zh-CN"/>
              </w:rPr>
              <w:t>《不合格品和产品撤回控制程序》</w:t>
            </w:r>
          </w:p>
        </w:tc>
        <w:tc>
          <w:tcPr>
            <w:tcW w:w="1548" w:type="dxa"/>
            <w:vMerge w:val="restart"/>
            <w:shd w:val="clear" w:color="auto" w:fill="DBEEF3" w:themeFill="accent5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0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0" w:type="dxa"/>
            <w:vMerge w:val="continue"/>
            <w:shd w:val="clear" w:color="auto" w:fill="DBEEF3" w:themeFill="accent5" w:themeFillTint="32"/>
          </w:tcPr>
          <w:p/>
        </w:tc>
        <w:tc>
          <w:tcPr>
            <w:tcW w:w="745" w:type="dxa"/>
            <w:gridSpan w:val="3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7" w:type="dxa"/>
            <w:gridSpan w:val="3"/>
            <w:shd w:val="clear" w:color="auto" w:fill="DBEEF3" w:themeFill="accent5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  <w:u w:val="none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  <w:u w:val="none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参加公司组织的模拟召回演练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634"/>
              <w:gridCol w:w="1811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20220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123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</w:rPr>
                    <w:t>牛肉（水分大，有脱水现象）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>
                  <w:pPr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100%撤回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eastAsia="zh-CN"/>
                    </w:rPr>
                    <w:t>模拟</w:t>
                  </w:r>
                  <w:r>
                    <w:rPr>
                      <w:rFonts w:hint="eastAsia"/>
                      <w:lang w:val="en-US" w:eastAsia="zh-CN"/>
                    </w:rPr>
                    <w:t>收回已发出的10份牛肉，</w:t>
                  </w:r>
                  <w:r>
                    <w:rPr>
                      <w:rFonts w:hint="eastAsia"/>
                      <w:lang w:eastAsia="zh-CN"/>
                    </w:rPr>
                    <w:t>销毁处理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17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</w:t>
            </w:r>
            <w:r>
              <w:rPr>
                <w:rFonts w:hint="eastAsia"/>
                <w:highlight w:val="none"/>
                <w:lang w:eastAsia="zh-CN"/>
              </w:rPr>
              <w:t>模拟追溯和召回报告</w:t>
            </w:r>
            <w:r>
              <w:rPr>
                <w:rFonts w:hint="eastAsia"/>
                <w:highlight w:val="none"/>
              </w:rPr>
              <w:t>》， 并向最高管理者报告， 作为管理评审的输入。</w:t>
            </w:r>
          </w:p>
          <w:p/>
        </w:tc>
        <w:tc>
          <w:tcPr>
            <w:tcW w:w="1548" w:type="dxa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8" w:type="dxa"/>
          <w:trHeight w:val="486" w:hRule="atLeast"/>
        </w:trPr>
        <w:tc>
          <w:tcPr>
            <w:tcW w:w="2098" w:type="dxa"/>
            <w:vMerge w:val="restart"/>
            <w:shd w:val="clear" w:color="auto" w:fill="DBEEF3" w:themeFill="accent5" w:themeFillTint="32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8" w:type="dxa"/>
          <w:trHeight w:val="487" w:hRule="atLeast"/>
        </w:trPr>
        <w:tc>
          <w:tcPr>
            <w:tcW w:w="2098" w:type="dxa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pPr>
              <w:spacing w:before="240" w:after="120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>根据组织提供的危害控制计划，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涉及生产部的主要为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OPRP1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分割包装、C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CP2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金属探测、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8" w:type="dxa"/>
          <w:trHeight w:val="6398" w:hRule="atLeast"/>
        </w:trPr>
        <w:tc>
          <w:tcPr>
            <w:tcW w:w="2098" w:type="dxa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shd w:val="clear" w:color="auto" w:fill="DBEEF3" w:themeFill="accent5" w:themeFillTint="32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视频查看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043"/>
              <w:gridCol w:w="1417"/>
              <w:gridCol w:w="1985"/>
              <w:gridCol w:w="2325"/>
              <w:gridCol w:w="12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/>
              </w:tc>
              <w:tc>
                <w:tcPr>
                  <w:tcW w:w="1043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r>
                    <w:rPr>
                      <w:rFonts w:hint="eastAsia"/>
                    </w:rPr>
                    <w:t>视频观察显示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r>
                    <w:rPr>
                      <w:rFonts w:hint="eastAsia"/>
                    </w:rPr>
                    <w:t>OPRP分割包装</w:t>
                  </w:r>
                </w:p>
              </w:tc>
              <w:tc>
                <w:tcPr>
                  <w:tcW w:w="1043" w:type="dxa"/>
                </w:tcPr>
                <w:p>
                  <w:r>
                    <w:rPr>
                      <w:rFonts w:hint="eastAsia"/>
                    </w:rPr>
                    <w:t>分割包装车间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分割包装间温度 ≤12℃</w:t>
                  </w:r>
                </w:p>
              </w:tc>
              <w:tc>
                <w:tcPr>
                  <w:tcW w:w="1985" w:type="dxa"/>
                </w:tcPr>
                <w:p>
                  <w:pPr>
                    <w:snapToGrid w:val="0"/>
                    <w:spacing w:line="320" w:lineRule="exact"/>
                  </w:pPr>
                  <w:r>
                    <w:rPr>
                      <w:rFonts w:hint="eastAsia"/>
                    </w:rPr>
                    <w:t>《冷分割温度监控记录》，抽查显示温度均在1</w:t>
                  </w:r>
                  <w:r>
                    <w:t>2</w:t>
                  </w:r>
                  <w:r>
                    <w:rPr>
                      <w:rFonts w:hint="eastAsia"/>
                    </w:rPr>
                    <w:t>℃一下。</w:t>
                  </w:r>
                </w:p>
              </w:tc>
              <w:tc>
                <w:tcPr>
                  <w:tcW w:w="2325" w:type="dxa"/>
                </w:tcPr>
                <w:p>
                  <w:r>
                    <w:rPr>
                      <w:rFonts w:hint="eastAsia"/>
                    </w:rPr>
                    <w:t>远程视频观察，分割包装车间温度为1</w:t>
                  </w:r>
                  <w:r>
                    <w:t>1.3</w:t>
                  </w:r>
                  <w:r>
                    <w:rPr>
                      <w:rFonts w:hint="eastAsia"/>
                    </w:rPr>
                    <w:t>℃，符合要求。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/>
              </w:tc>
              <w:tc>
                <w:tcPr>
                  <w:tcW w:w="1043" w:type="dxa"/>
                </w:tcPr>
                <w:p/>
              </w:tc>
              <w:tc>
                <w:tcPr>
                  <w:tcW w:w="1417" w:type="dxa"/>
                </w:tcPr>
                <w:p/>
              </w:tc>
              <w:tc>
                <w:tcPr>
                  <w:tcW w:w="1985" w:type="dxa"/>
                </w:tcPr>
                <w:p/>
              </w:tc>
              <w:tc>
                <w:tcPr>
                  <w:tcW w:w="2325" w:type="dxa"/>
                </w:tcPr>
                <w:p/>
              </w:tc>
              <w:tc>
                <w:tcPr>
                  <w:tcW w:w="1276" w:type="dxa"/>
                </w:tcPr>
                <w:p/>
              </w:tc>
            </w:tr>
          </w:tbl>
          <w:p>
            <w:r>
              <w:rPr>
                <w:rFonts w:hint="eastAsia"/>
                <w:u w:val="single"/>
              </w:rPr>
              <w:t>另外抽查2</w:t>
            </w:r>
            <w:r>
              <w:rPr>
                <w:u w:val="single"/>
              </w:rPr>
              <w:t>021</w:t>
            </w:r>
            <w:r>
              <w:rPr>
                <w:rFonts w:hint="eastAsia"/>
                <w:u w:val="single"/>
              </w:rPr>
              <w:t>年1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28</w:t>
            </w:r>
            <w:r>
              <w:rPr>
                <w:rFonts w:hint="eastAsia"/>
                <w:u w:val="single"/>
              </w:rPr>
              <w:t>日，2</w:t>
            </w:r>
            <w:r>
              <w:rPr>
                <w:u w:val="single"/>
              </w:rPr>
              <w:t>021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20</w:t>
            </w:r>
            <w:r>
              <w:rPr>
                <w:rFonts w:hint="eastAsia"/>
                <w:u w:val="single"/>
              </w:rPr>
              <w:t>日，2</w:t>
            </w:r>
            <w:r>
              <w:rPr>
                <w:u w:val="single"/>
              </w:rPr>
              <w:t>022.4.3</w:t>
            </w:r>
            <w:r>
              <w:rPr>
                <w:rFonts w:hint="eastAsia"/>
                <w:u w:val="single"/>
              </w:rPr>
              <w:t>等生产过程控制情况，基本符合。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HACCP的实施情况：</w:t>
            </w:r>
            <w:r>
              <w:t xml:space="preserve">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"/>
              <w:gridCol w:w="970"/>
              <w:gridCol w:w="2721"/>
              <w:gridCol w:w="2121"/>
              <w:gridCol w:w="1275"/>
              <w:gridCol w:w="1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远程现场显示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金属探测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分割包装车间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_Fe: φ2.0mm ， Sus:φ3.0mm，N-Fe:φ3.0mm 通过能检出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《金属检测 记录表》，检测结果“正常”，但未记录各测试块检测情况，已沟通</w:t>
                  </w:r>
                </w:p>
              </w:tc>
              <w:tc>
                <w:tcPr>
                  <w:tcW w:w="1275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远程查看使用三个测试块有有效检出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基本符合要求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2721" w:type="dxa"/>
                </w:tcPr>
                <w:p/>
              </w:tc>
              <w:tc>
                <w:tcPr>
                  <w:tcW w:w="2121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1275" w:type="dxa"/>
                </w:tcPr>
                <w:p/>
              </w:tc>
              <w:tc>
                <w:tcPr>
                  <w:tcW w:w="112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2721" w:type="dxa"/>
                </w:tcPr>
                <w:p/>
              </w:tc>
              <w:tc>
                <w:tcPr>
                  <w:tcW w:w="2121" w:type="dxa"/>
                </w:tcPr>
                <w:p/>
              </w:tc>
              <w:tc>
                <w:tcPr>
                  <w:tcW w:w="1275" w:type="dxa"/>
                </w:tcPr>
                <w:p/>
              </w:tc>
              <w:tc>
                <w:tcPr>
                  <w:tcW w:w="1126" w:type="dxa"/>
                </w:tcPr>
                <w:p/>
              </w:tc>
            </w:tr>
          </w:tbl>
          <w:p/>
        </w:tc>
        <w:tc>
          <w:tcPr>
            <w:tcW w:w="1550" w:type="dxa"/>
            <w:gridSpan w:val="2"/>
            <w:shd w:val="clear" w:color="auto" w:fill="DBEEF3" w:themeFill="accent5" w:themeFillTint="32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6" w:type="dxa"/>
            <w:gridSpan w:val="3"/>
            <w:shd w:val="clear" w:color="auto" w:fill="DBEEF3" w:themeFill="accent5" w:themeFillTint="32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1011" w:type="dxa"/>
            <w:gridSpan w:val="2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 w:ascii="宋体" w:hAnsi="宋体"/>
                    </w:rPr>
                    <w:t>口</w:t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异常情况处理：（体系建立以来，未发生）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在生产或服务场所对顾客或外部供方财产的标识和防护情况：口区分清楚  口防护得当（不涉及）</w:t>
            </w:r>
          </w:p>
          <w:p/>
          <w:p>
            <w:pPr>
              <w:pStyle w:val="8"/>
              <w:ind w:left="0" w:firstLine="0" w:firstLineChars="0"/>
            </w:pPr>
            <w:r>
              <w:rPr>
                <w:rFonts w:hint="eastAsia"/>
              </w:rPr>
              <w:t>在原材料库房对顾客或外部供方财产的标识和防护情况：口区分清楚  口防护得当（不涉及）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前提方案</w:t>
            </w:r>
            <w:r>
              <w:rPr>
                <w:rFonts w:hint="eastAsia"/>
              </w:rPr>
              <w:t>》、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《产品防护控制程序》、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/>
              </w:rPr>
              <w:t>《仓库管理制度》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 xml:space="preserve">口区分清楚  口防护得当（不涉及）温度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牛胴体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11.3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hint="eastAsia" w:ascii="宋体" w:hAnsi="宋体"/>
              </w:rPr>
              <w:t>口立体</w:t>
            </w:r>
            <w:r>
              <w:rPr>
                <w:rFonts w:hint="eastAsia"/>
              </w:rPr>
              <w:t>仓内存放</w:t>
            </w:r>
          </w:p>
          <w:p/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  <w:lang w:val="en-US" w:eastAsia="zh-CN"/>
              </w:rPr>
              <w:t>主要体现为产品包装后中专存放，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-19.6 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36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48</w:t>
            </w:r>
            <w:r>
              <w:rPr>
                <w:rFonts w:hint="eastAsia"/>
                <w:u w:val="single"/>
              </w:rPr>
              <w:t>小时（根据产品特性情况）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牛肉分割产品（如牛腩块）     </w:t>
            </w:r>
            <w:r>
              <w:rPr>
                <w:rFonts w:hint="eastAsia"/>
                <w:u w:val="single"/>
                <w:lang w:val="en-US" w:eastAsia="zh-CN"/>
              </w:rPr>
              <w:t>视频观察成品库有废纸箱、扎带，未及时进行清理，已现场沟通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-18.</w:t>
            </w:r>
            <w:r>
              <w:rPr>
                <w:rFonts w:hint="eastAsia"/>
                <w:u w:val="single"/>
                <w:lang w:val="en-US" w:eastAsia="zh-CN"/>
              </w:rPr>
              <w:t>3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 （确保冷冻）</w:t>
            </w:r>
          </w:p>
          <w:p/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《售后服务控制程序》</w:t>
            </w:r>
          </w:p>
          <w:p/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其他——顾客投诉、退货换货等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6" w:type="dxa"/>
            <w:gridSpan w:val="3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1011" w:type="dxa"/>
            <w:gridSpan w:val="2"/>
            <w:vMerge w:val="restart"/>
            <w:shd w:val="clear" w:color="auto" w:fill="DBEEF3" w:themeFill="accent5" w:themeFillTint="32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条款、口《顾客满意度测量控制程序》、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50" w:type="dxa"/>
            <w:gridSpan w:val="2"/>
            <w:vMerge w:val="restart"/>
            <w:shd w:val="clear" w:color="auto" w:fill="DBEEF3" w:themeFill="accent5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26" w:type="dxa"/>
            <w:gridSpan w:val="3"/>
            <w:vMerge w:val="continue"/>
            <w:shd w:val="clear" w:color="auto" w:fill="DBEEF3" w:themeFill="accent5" w:themeFillTint="32"/>
          </w:tcPr>
          <w:p/>
        </w:tc>
        <w:tc>
          <w:tcPr>
            <w:tcW w:w="1011" w:type="dxa"/>
            <w:gridSpan w:val="2"/>
            <w:vMerge w:val="continue"/>
            <w:shd w:val="clear" w:color="auto" w:fill="DBEEF3" w:themeFill="accent5" w:themeFillTint="32"/>
          </w:tcPr>
          <w:p/>
        </w:tc>
        <w:tc>
          <w:tcPr>
            <w:tcW w:w="749" w:type="dxa"/>
            <w:gridSpan w:val="4"/>
            <w:shd w:val="clear" w:color="auto" w:fill="DBEEF3" w:themeFill="accent5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2" w:type="dxa"/>
            <w:shd w:val="clear" w:color="auto" w:fill="DBEEF3" w:themeFill="accent5" w:themeFillTint="32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50" w:type="dxa"/>
            <w:gridSpan w:val="2"/>
            <w:vMerge w:val="continue"/>
            <w:shd w:val="clear" w:color="auto" w:fill="DBEEF3" w:themeFill="accent5" w:themeFillTint="32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5"/>
        <w:rFonts w:hint="default"/>
      </w:rPr>
    </w:pPr>
    <w:r>
      <w:rPr>
        <w:rStyle w:val="15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-1270</wp:posOffset>
          </wp:positionV>
          <wp:extent cx="445135" cy="445135"/>
          <wp:effectExtent l="0" t="0" r="12065" b="1206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1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4A8C"/>
    <w:rsid w:val="00017CE9"/>
    <w:rsid w:val="000237F6"/>
    <w:rsid w:val="0003284C"/>
    <w:rsid w:val="0003373A"/>
    <w:rsid w:val="000400E2"/>
    <w:rsid w:val="00041613"/>
    <w:rsid w:val="0004715F"/>
    <w:rsid w:val="00052362"/>
    <w:rsid w:val="00052508"/>
    <w:rsid w:val="000569BC"/>
    <w:rsid w:val="00061380"/>
    <w:rsid w:val="00062E46"/>
    <w:rsid w:val="00064A8F"/>
    <w:rsid w:val="000667E8"/>
    <w:rsid w:val="00071522"/>
    <w:rsid w:val="00073A25"/>
    <w:rsid w:val="0008383C"/>
    <w:rsid w:val="00085A4A"/>
    <w:rsid w:val="000A4138"/>
    <w:rsid w:val="000A7BB8"/>
    <w:rsid w:val="000B29D3"/>
    <w:rsid w:val="000B411A"/>
    <w:rsid w:val="000B4B7C"/>
    <w:rsid w:val="000E40CA"/>
    <w:rsid w:val="000E4CCB"/>
    <w:rsid w:val="000E6B21"/>
    <w:rsid w:val="00105D04"/>
    <w:rsid w:val="00115EAA"/>
    <w:rsid w:val="00116809"/>
    <w:rsid w:val="001273B7"/>
    <w:rsid w:val="001318DF"/>
    <w:rsid w:val="001334A5"/>
    <w:rsid w:val="00161E82"/>
    <w:rsid w:val="00171B5F"/>
    <w:rsid w:val="00171DE3"/>
    <w:rsid w:val="00182530"/>
    <w:rsid w:val="00192B0D"/>
    <w:rsid w:val="0019695B"/>
    <w:rsid w:val="001976B2"/>
    <w:rsid w:val="001A2D7F"/>
    <w:rsid w:val="001C2CB0"/>
    <w:rsid w:val="001C3BDB"/>
    <w:rsid w:val="001C4FE7"/>
    <w:rsid w:val="001C7DD2"/>
    <w:rsid w:val="001F1542"/>
    <w:rsid w:val="001F5D71"/>
    <w:rsid w:val="00202081"/>
    <w:rsid w:val="00216802"/>
    <w:rsid w:val="00221481"/>
    <w:rsid w:val="002269E5"/>
    <w:rsid w:val="0023080B"/>
    <w:rsid w:val="00235262"/>
    <w:rsid w:val="0024106D"/>
    <w:rsid w:val="002453C9"/>
    <w:rsid w:val="002454BB"/>
    <w:rsid w:val="00270361"/>
    <w:rsid w:val="002939AD"/>
    <w:rsid w:val="00295126"/>
    <w:rsid w:val="002A3B44"/>
    <w:rsid w:val="002B2F59"/>
    <w:rsid w:val="002B7708"/>
    <w:rsid w:val="002E2B5B"/>
    <w:rsid w:val="002E773D"/>
    <w:rsid w:val="002F324D"/>
    <w:rsid w:val="00314AF6"/>
    <w:rsid w:val="00325BBE"/>
    <w:rsid w:val="00337922"/>
    <w:rsid w:val="00340867"/>
    <w:rsid w:val="003462DC"/>
    <w:rsid w:val="003477C7"/>
    <w:rsid w:val="00354EC8"/>
    <w:rsid w:val="003660FE"/>
    <w:rsid w:val="00370AC8"/>
    <w:rsid w:val="00377E7A"/>
    <w:rsid w:val="00380837"/>
    <w:rsid w:val="003812C8"/>
    <w:rsid w:val="003A10F0"/>
    <w:rsid w:val="003A198A"/>
    <w:rsid w:val="003A751B"/>
    <w:rsid w:val="003B21C4"/>
    <w:rsid w:val="003B2496"/>
    <w:rsid w:val="003B4966"/>
    <w:rsid w:val="003C04AC"/>
    <w:rsid w:val="003C0EF4"/>
    <w:rsid w:val="003D6DAE"/>
    <w:rsid w:val="003E4572"/>
    <w:rsid w:val="00401BC3"/>
    <w:rsid w:val="00404CF1"/>
    <w:rsid w:val="00410914"/>
    <w:rsid w:val="00412F74"/>
    <w:rsid w:val="00417D46"/>
    <w:rsid w:val="004213C2"/>
    <w:rsid w:val="00423D3B"/>
    <w:rsid w:val="00432701"/>
    <w:rsid w:val="004340FB"/>
    <w:rsid w:val="00444C89"/>
    <w:rsid w:val="0045442D"/>
    <w:rsid w:val="00472BBD"/>
    <w:rsid w:val="00474F25"/>
    <w:rsid w:val="004767E0"/>
    <w:rsid w:val="0048201E"/>
    <w:rsid w:val="00483299"/>
    <w:rsid w:val="004B1463"/>
    <w:rsid w:val="004E3A26"/>
    <w:rsid w:val="00504C4F"/>
    <w:rsid w:val="005058DE"/>
    <w:rsid w:val="00507028"/>
    <w:rsid w:val="005223A0"/>
    <w:rsid w:val="00522B2C"/>
    <w:rsid w:val="005366EE"/>
    <w:rsid w:val="00536930"/>
    <w:rsid w:val="005405B4"/>
    <w:rsid w:val="00561DCA"/>
    <w:rsid w:val="0056234D"/>
    <w:rsid w:val="00563A38"/>
    <w:rsid w:val="00564E53"/>
    <w:rsid w:val="0056561D"/>
    <w:rsid w:val="00576F86"/>
    <w:rsid w:val="00577EB4"/>
    <w:rsid w:val="00582266"/>
    <w:rsid w:val="0058699F"/>
    <w:rsid w:val="00592315"/>
    <w:rsid w:val="005C54C9"/>
    <w:rsid w:val="005D29C4"/>
    <w:rsid w:val="005D5659"/>
    <w:rsid w:val="005D7E9F"/>
    <w:rsid w:val="00600C20"/>
    <w:rsid w:val="00601902"/>
    <w:rsid w:val="006123A2"/>
    <w:rsid w:val="00621FC6"/>
    <w:rsid w:val="00633429"/>
    <w:rsid w:val="00634C51"/>
    <w:rsid w:val="00644FE2"/>
    <w:rsid w:val="00651772"/>
    <w:rsid w:val="00665DCC"/>
    <w:rsid w:val="00670B28"/>
    <w:rsid w:val="0067640C"/>
    <w:rsid w:val="006828B8"/>
    <w:rsid w:val="00690A24"/>
    <w:rsid w:val="00697C06"/>
    <w:rsid w:val="006A419A"/>
    <w:rsid w:val="006A55E2"/>
    <w:rsid w:val="006B12A5"/>
    <w:rsid w:val="006D534C"/>
    <w:rsid w:val="006E678B"/>
    <w:rsid w:val="006E7B1D"/>
    <w:rsid w:val="006F277F"/>
    <w:rsid w:val="00700E00"/>
    <w:rsid w:val="00714BC1"/>
    <w:rsid w:val="0071710E"/>
    <w:rsid w:val="00721894"/>
    <w:rsid w:val="0073724C"/>
    <w:rsid w:val="007414BA"/>
    <w:rsid w:val="00744C1A"/>
    <w:rsid w:val="00747832"/>
    <w:rsid w:val="00751C5D"/>
    <w:rsid w:val="00765E4E"/>
    <w:rsid w:val="007757F3"/>
    <w:rsid w:val="007764E2"/>
    <w:rsid w:val="00790168"/>
    <w:rsid w:val="0079152F"/>
    <w:rsid w:val="007C14C1"/>
    <w:rsid w:val="007C1B48"/>
    <w:rsid w:val="007C64C7"/>
    <w:rsid w:val="007C6F53"/>
    <w:rsid w:val="007E3B15"/>
    <w:rsid w:val="007E52E7"/>
    <w:rsid w:val="007E6578"/>
    <w:rsid w:val="007E6AEB"/>
    <w:rsid w:val="007E7BCC"/>
    <w:rsid w:val="007E7F1E"/>
    <w:rsid w:val="007F0B9E"/>
    <w:rsid w:val="008152AA"/>
    <w:rsid w:val="00823142"/>
    <w:rsid w:val="00827634"/>
    <w:rsid w:val="00834771"/>
    <w:rsid w:val="0083634B"/>
    <w:rsid w:val="0084331B"/>
    <w:rsid w:val="00845AB3"/>
    <w:rsid w:val="00870B3A"/>
    <w:rsid w:val="00882CC4"/>
    <w:rsid w:val="0088497A"/>
    <w:rsid w:val="008973EE"/>
    <w:rsid w:val="008C553A"/>
    <w:rsid w:val="008D721D"/>
    <w:rsid w:val="008E4377"/>
    <w:rsid w:val="008E71AB"/>
    <w:rsid w:val="008F49AF"/>
    <w:rsid w:val="009107B3"/>
    <w:rsid w:val="0093057D"/>
    <w:rsid w:val="00971600"/>
    <w:rsid w:val="00971B45"/>
    <w:rsid w:val="00984D26"/>
    <w:rsid w:val="009973B4"/>
    <w:rsid w:val="009C28C1"/>
    <w:rsid w:val="009E1A4B"/>
    <w:rsid w:val="009F1176"/>
    <w:rsid w:val="009F7EED"/>
    <w:rsid w:val="00A1054A"/>
    <w:rsid w:val="00A10A43"/>
    <w:rsid w:val="00A11673"/>
    <w:rsid w:val="00A13AB0"/>
    <w:rsid w:val="00A21BD3"/>
    <w:rsid w:val="00A2213E"/>
    <w:rsid w:val="00A22A49"/>
    <w:rsid w:val="00A429DA"/>
    <w:rsid w:val="00A4530A"/>
    <w:rsid w:val="00A55742"/>
    <w:rsid w:val="00A615AC"/>
    <w:rsid w:val="00A6679B"/>
    <w:rsid w:val="00A80636"/>
    <w:rsid w:val="00A80EFB"/>
    <w:rsid w:val="00A9160E"/>
    <w:rsid w:val="00AC0AA2"/>
    <w:rsid w:val="00AC1E5F"/>
    <w:rsid w:val="00AE6E18"/>
    <w:rsid w:val="00AF0AAB"/>
    <w:rsid w:val="00AF0E87"/>
    <w:rsid w:val="00AF3613"/>
    <w:rsid w:val="00B00265"/>
    <w:rsid w:val="00B102DA"/>
    <w:rsid w:val="00B21204"/>
    <w:rsid w:val="00B31D93"/>
    <w:rsid w:val="00B438C1"/>
    <w:rsid w:val="00B47284"/>
    <w:rsid w:val="00B542F3"/>
    <w:rsid w:val="00B55941"/>
    <w:rsid w:val="00B57659"/>
    <w:rsid w:val="00B610A5"/>
    <w:rsid w:val="00B66F43"/>
    <w:rsid w:val="00B707FE"/>
    <w:rsid w:val="00B81E63"/>
    <w:rsid w:val="00B93520"/>
    <w:rsid w:val="00B93774"/>
    <w:rsid w:val="00B95724"/>
    <w:rsid w:val="00B970E4"/>
    <w:rsid w:val="00BC4EF5"/>
    <w:rsid w:val="00BC75FE"/>
    <w:rsid w:val="00BE7870"/>
    <w:rsid w:val="00BF1E6E"/>
    <w:rsid w:val="00BF597E"/>
    <w:rsid w:val="00C11CDA"/>
    <w:rsid w:val="00C24C73"/>
    <w:rsid w:val="00C302BB"/>
    <w:rsid w:val="00C41A3F"/>
    <w:rsid w:val="00C432B3"/>
    <w:rsid w:val="00C46D61"/>
    <w:rsid w:val="00C51A36"/>
    <w:rsid w:val="00C530B8"/>
    <w:rsid w:val="00C55228"/>
    <w:rsid w:val="00C63418"/>
    <w:rsid w:val="00C63768"/>
    <w:rsid w:val="00C672AE"/>
    <w:rsid w:val="00C723FA"/>
    <w:rsid w:val="00C732E3"/>
    <w:rsid w:val="00C748D3"/>
    <w:rsid w:val="00C82624"/>
    <w:rsid w:val="00CC1378"/>
    <w:rsid w:val="00CE315A"/>
    <w:rsid w:val="00CF2456"/>
    <w:rsid w:val="00D06F59"/>
    <w:rsid w:val="00D12841"/>
    <w:rsid w:val="00D2406E"/>
    <w:rsid w:val="00D26387"/>
    <w:rsid w:val="00D27297"/>
    <w:rsid w:val="00D438E7"/>
    <w:rsid w:val="00D4625B"/>
    <w:rsid w:val="00D569B3"/>
    <w:rsid w:val="00D573F9"/>
    <w:rsid w:val="00D64EFB"/>
    <w:rsid w:val="00D714A9"/>
    <w:rsid w:val="00D76894"/>
    <w:rsid w:val="00D8388C"/>
    <w:rsid w:val="00D92661"/>
    <w:rsid w:val="00DA23D3"/>
    <w:rsid w:val="00DA2472"/>
    <w:rsid w:val="00DA32A5"/>
    <w:rsid w:val="00DA3FB5"/>
    <w:rsid w:val="00DB042D"/>
    <w:rsid w:val="00DB404D"/>
    <w:rsid w:val="00DE04B3"/>
    <w:rsid w:val="00E276FC"/>
    <w:rsid w:val="00E34B56"/>
    <w:rsid w:val="00E6224C"/>
    <w:rsid w:val="00E64237"/>
    <w:rsid w:val="00E664CB"/>
    <w:rsid w:val="00E72CE7"/>
    <w:rsid w:val="00E76BB6"/>
    <w:rsid w:val="00EB0164"/>
    <w:rsid w:val="00EB13BA"/>
    <w:rsid w:val="00EC4C9E"/>
    <w:rsid w:val="00EC53DB"/>
    <w:rsid w:val="00EC7436"/>
    <w:rsid w:val="00ED0F62"/>
    <w:rsid w:val="00ED1EC6"/>
    <w:rsid w:val="00ED2C1D"/>
    <w:rsid w:val="00EE6E51"/>
    <w:rsid w:val="00EF72B8"/>
    <w:rsid w:val="00F10607"/>
    <w:rsid w:val="00F168CD"/>
    <w:rsid w:val="00F22105"/>
    <w:rsid w:val="00F24051"/>
    <w:rsid w:val="00F26D4F"/>
    <w:rsid w:val="00F27D64"/>
    <w:rsid w:val="00F30613"/>
    <w:rsid w:val="00F456E7"/>
    <w:rsid w:val="00F57E65"/>
    <w:rsid w:val="00F6765D"/>
    <w:rsid w:val="00F71CEA"/>
    <w:rsid w:val="00F8015C"/>
    <w:rsid w:val="00F8277C"/>
    <w:rsid w:val="00F9369B"/>
    <w:rsid w:val="00FA47E2"/>
    <w:rsid w:val="00FB1356"/>
    <w:rsid w:val="00FB31D7"/>
    <w:rsid w:val="00FB3646"/>
    <w:rsid w:val="00FB3CBB"/>
    <w:rsid w:val="00FB6315"/>
    <w:rsid w:val="00FC23C4"/>
    <w:rsid w:val="00FE0F72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656C47"/>
    <w:rsid w:val="046E2A37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5657F9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97769A"/>
    <w:rsid w:val="1CB1322F"/>
    <w:rsid w:val="1D034094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55688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5C5A84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405051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A97BA4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1C69EE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3D596E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8439</Words>
  <Characters>9194</Characters>
  <Lines>89</Lines>
  <Paragraphs>25</Paragraphs>
  <TotalTime>1</TotalTime>
  <ScaleCrop>false</ScaleCrop>
  <LinksUpToDate>false</LinksUpToDate>
  <CharactersWithSpaces>10326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2022-03-03T00:28:00Z</dcterms:created>
  <dc:creator>微软用户</dc:creator>
  <cp:lastModifiedBy>肖新龙</cp:lastModifiedBy>
  <dcterms:modified xsi:type="dcterms:W3CDTF">2022-06-10T06:12:38Z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2A7A38EA68AA409D824B3193B0E80B5F</vt:lpwstr>
  </property>
</Properties>
</file>