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205"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8"/>
        <w:gridCol w:w="1055"/>
        <w:gridCol w:w="893"/>
        <w:gridCol w:w="937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518" w:type="dxa"/>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1055" w:type="dxa"/>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266" w:type="dxa"/>
            <w:gridSpan w:val="2"/>
            <w:shd w:val="clear" w:color="auto" w:fill="auto"/>
            <w:vAlign w:val="center"/>
          </w:tcPr>
          <w:p>
            <w:pPr>
              <w:shd w:val="clea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主管领导：王飞 </w:t>
            </w:r>
            <w:r>
              <w:rPr>
                <w:sz w:val="24"/>
                <w:szCs w:val="24"/>
              </w:rPr>
              <w:t xml:space="preserve">   </w:t>
            </w:r>
            <w:r>
              <w:rPr>
                <w:rFonts w:hint="eastAsia"/>
                <w:sz w:val="24"/>
                <w:szCs w:val="24"/>
              </w:rPr>
              <w:t>陪同人员：</w:t>
            </w:r>
            <w:r>
              <w:rPr>
                <w:rFonts w:hint="eastAsia"/>
                <w:sz w:val="24"/>
                <w:szCs w:val="24"/>
                <w:lang w:val="en-US" w:eastAsia="zh-CN"/>
              </w:rPr>
              <w:t>周吻</w:t>
            </w:r>
          </w:p>
        </w:tc>
        <w:tc>
          <w:tcPr>
            <w:tcW w:w="1366" w:type="dxa"/>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pStyle w:val="12"/>
              <w:shd w:val="clear"/>
              <w:rPr>
                <w:rFonts w:hint="default" w:eastAsia="宋体"/>
                <w:lang w:val="en-US" w:eastAsia="zh-CN"/>
              </w:rPr>
            </w:pPr>
            <w:r>
              <w:rPr>
                <w:rFonts w:hint="eastAsia"/>
                <w:sz w:val="21"/>
                <w:szCs w:val="21"/>
              </w:rPr>
              <w:t>审核员：</w:t>
            </w:r>
            <w:r>
              <w:rPr>
                <w:rFonts w:hint="eastAsia"/>
                <w:sz w:val="21"/>
                <w:szCs w:val="21"/>
                <w:lang w:val="en-US" w:eastAsia="zh-CN"/>
              </w:rPr>
              <w:t>肖新龙（远程）</w:t>
            </w:r>
            <w:r>
              <w:rPr>
                <w:rFonts w:hint="eastAsia"/>
                <w:sz w:val="24"/>
                <w:szCs w:val="24"/>
                <w:lang w:val="en-US" w:eastAsia="zh-CN"/>
              </w:rPr>
              <w:t>【审核沟通方式：腾讯会议/微信/电话</w:t>
            </w:r>
            <w:r>
              <w:rPr>
                <w:sz w:val="24"/>
                <w:szCs w:val="24"/>
              </w:rPr>
              <w:t xml:space="preserve"> </w:t>
            </w:r>
            <w:r>
              <w:rPr>
                <w:rFonts w:hint="eastAsia"/>
                <w:sz w:val="24"/>
                <w:szCs w:val="24"/>
                <w:lang w:val="en-US" w:eastAsia="zh-CN"/>
              </w:rPr>
              <w:t>】</w:t>
            </w:r>
            <w:r>
              <w:rPr>
                <w:sz w:val="21"/>
                <w:szCs w:val="21"/>
              </w:rPr>
              <w:t xml:space="preserve"> </w:t>
            </w:r>
            <w:r>
              <w:rPr>
                <w:rFonts w:hint="eastAsia"/>
                <w:sz w:val="21"/>
                <w:szCs w:val="21"/>
              </w:rPr>
              <w:t>审核日期：</w:t>
            </w:r>
            <w:r>
              <w:rPr>
                <w:rFonts w:hint="eastAsia"/>
                <w:sz w:val="21"/>
                <w:szCs w:val="21"/>
                <w:lang w:val="en-US" w:eastAsia="zh-CN"/>
              </w:rPr>
              <w:t>2022-05-19上午</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keepNext w:val="0"/>
              <w:keepLines w:val="0"/>
              <w:widowControl/>
              <w:suppressLineNumbers w:val="0"/>
              <w:jc w:val="left"/>
              <w:rPr>
                <w:rFonts w:hint="eastAsia"/>
              </w:rPr>
            </w:pPr>
            <w:r>
              <w:rPr>
                <w:rFonts w:hint="eastAsia"/>
              </w:rPr>
              <w:t>审核条款：</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QMS</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 xml:space="preserve">4.1/4.2/4.3/4.4/5.1/5.2/5.3/6.1/6.2/6.3/7.1.1/7.4/8.1/9.1.1/9.2/9.3/10.1/10.2/10.3 </w:t>
            </w:r>
          </w:p>
          <w:p>
            <w:pPr>
              <w:keepNext w:val="0"/>
              <w:keepLines w:val="0"/>
              <w:widowControl/>
              <w:suppressLineNumbers w:val="0"/>
              <w:jc w:val="left"/>
              <w:rPr>
                <w:rFonts w:hint="eastAsia"/>
              </w:rPr>
            </w:pPr>
            <w:r>
              <w:rPr>
                <w:rFonts w:hint="default" w:ascii="Times New Roman" w:hAnsi="Times New Roman" w:eastAsia="宋体" w:cs="Times New Roman"/>
                <w:color w:val="000000"/>
                <w:kern w:val="0"/>
                <w:sz w:val="20"/>
                <w:szCs w:val="20"/>
                <w:lang w:val="en-US" w:eastAsia="zh-CN" w:bidi="ar"/>
              </w:rPr>
              <w:t>FSMS</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4.1/4.2/4.3/4.4/5.1/5.2/5.3/6.1/6.2/6.3/7.1.1/7.4/8.1/9.1.1/9.2/9.3/10.1/10.2</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highlight w:val="none"/>
              </w:rPr>
            </w:pPr>
            <w:r>
              <w:rPr>
                <w:rFonts w:hint="eastAsia"/>
                <w:highlight w:val="none"/>
              </w:rPr>
              <w:t>理解组织及其环境</w:t>
            </w:r>
          </w:p>
        </w:tc>
        <w:tc>
          <w:tcPr>
            <w:tcW w:w="1055" w:type="dxa"/>
            <w:vMerge w:val="restart"/>
            <w:shd w:val="clear" w:color="auto" w:fill="auto"/>
          </w:tcPr>
          <w:p>
            <w:pPr>
              <w:shd w:val="clear"/>
              <w:rPr>
                <w:highlight w:val="none"/>
              </w:rPr>
            </w:pPr>
            <w:r>
              <w:rPr>
                <w:rFonts w:hint="eastAsia"/>
                <w:highlight w:val="none"/>
              </w:rPr>
              <w:t xml:space="preserve">Q4.1 </w:t>
            </w:r>
          </w:p>
          <w:p>
            <w:pPr>
              <w:shd w:val="clear"/>
              <w:rPr>
                <w:highlight w:val="none"/>
              </w:rPr>
            </w:pPr>
            <w:r>
              <w:rPr>
                <w:rFonts w:hint="eastAsia"/>
                <w:highlight w:val="none"/>
              </w:rPr>
              <w:t>F4.1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t xml:space="preserve"> </w:t>
            </w:r>
            <w:r>
              <w:rPr>
                <w:highlight w:val="none"/>
              </w:rPr>
              <w:sym w:font="Wingdings" w:char="00FE"/>
            </w:r>
            <w:r>
              <w:rPr>
                <w:rFonts w:hint="eastAsia"/>
                <w:highlight w:val="none"/>
                <w:lang w:eastAsia="zh-CN"/>
              </w:rPr>
              <w:t>《质量和食品安全管理手册》</w:t>
            </w:r>
            <w:r>
              <w:rPr>
                <w:rFonts w:hint="eastAsia"/>
                <w:highlight w:val="none"/>
              </w:rPr>
              <w:t>第4.1章、</w:t>
            </w:r>
            <w:r>
              <w:rPr>
                <w:highlight w:val="none"/>
              </w:rPr>
              <w:sym w:font="Wingdings" w:char="00A8"/>
            </w:r>
            <w:r>
              <w:rPr>
                <w:rFonts w:hint="eastAsia"/>
                <w:highlight w:val="none"/>
              </w:rPr>
              <w:t>组织内外部环境要素识别表、</w:t>
            </w:r>
            <w:r>
              <w:rPr>
                <w:highlight w:val="none"/>
              </w:rPr>
              <w:sym w:font="Wingdings" w:char="00A8"/>
            </w:r>
            <w:r>
              <w:rPr>
                <w:rFonts w:hint="eastAsia"/>
                <w:highlight w:val="none"/>
              </w:rPr>
              <w:t>《公司环境分析控制程序 》</w:t>
            </w:r>
          </w:p>
        </w:tc>
        <w:tc>
          <w:tcPr>
            <w:tcW w:w="1366"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color w:val="000000"/>
                <w:szCs w:val="21"/>
                <w:highlight w:val="none"/>
              </w:rPr>
            </w:pPr>
            <w:r>
              <w:rPr>
                <w:rFonts w:hint="eastAsia"/>
                <w:color w:val="000000"/>
                <w:szCs w:val="21"/>
                <w:highlight w:val="none"/>
              </w:rPr>
              <w:t>与最高管理者</w:t>
            </w:r>
            <w:r>
              <w:rPr>
                <w:rFonts w:hint="eastAsia"/>
                <w:color w:val="000000"/>
                <w:szCs w:val="21"/>
                <w:highlight w:val="none"/>
                <w:lang w:val="en-US" w:eastAsia="zh-CN"/>
              </w:rPr>
              <w:t>现场</w:t>
            </w:r>
            <w:r>
              <w:rPr>
                <w:rFonts w:hint="eastAsia"/>
                <w:color w:val="000000"/>
                <w:szCs w:val="21"/>
                <w:highlight w:val="none"/>
              </w:rPr>
              <w:t>沟通：</w:t>
            </w:r>
          </w:p>
          <w:p>
            <w:pPr>
              <w:shd w:val="clear"/>
              <w:rPr>
                <w:color w:val="000000"/>
                <w:szCs w:val="21"/>
                <w:highlight w:val="none"/>
              </w:rPr>
            </w:pPr>
            <w:r>
              <w:rPr>
                <w:rFonts w:hint="eastAsia"/>
                <w:color w:val="000000"/>
                <w:szCs w:val="21"/>
                <w:highlight w:val="none"/>
              </w:rPr>
              <w:t>组织的环境：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外部环境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列举主要的内容</w:t>
                  </w:r>
                </w:p>
              </w:tc>
              <w:tc>
                <w:tcPr>
                  <w:tcW w:w="7212" w:type="dxa"/>
                </w:tcPr>
                <w:p>
                  <w:pPr>
                    <w:pStyle w:val="12"/>
                    <w:rPr>
                      <w:rFonts w:hint="default"/>
                      <w:lang w:val="en-US" w:eastAsia="zh-CN"/>
                    </w:rPr>
                  </w:pPr>
                  <w:r>
                    <w:rPr>
                      <w:rFonts w:hint="eastAsia"/>
                      <w:lang w:val="en-US" w:eastAsia="zh-CN"/>
                    </w:rPr>
                    <w:t>当地疫情影响、疫情防控要求较高、发货量受较大影响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内部环境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w:t>
                  </w:r>
                  <w:r>
                    <w:rPr>
                      <w:rFonts w:hint="eastAsia"/>
                      <w:highlight w:val="none"/>
                    </w:rPr>
                    <w:sym w:font="Wingdings 2" w:char="0052"/>
                  </w:r>
                  <w:r>
                    <w:rPr>
                      <w:rFonts w:hint="eastAsia"/>
                      <w:highlight w:val="none"/>
                    </w:rPr>
                    <w:t>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69" w:type="dxa"/>
                </w:tcPr>
                <w:p>
                  <w:pPr>
                    <w:shd w:val="clear"/>
                    <w:rPr>
                      <w:highlight w:val="none"/>
                    </w:rPr>
                  </w:pPr>
                  <w:r>
                    <w:rPr>
                      <w:rFonts w:hint="eastAsia"/>
                      <w:highlight w:val="none"/>
                    </w:rPr>
                    <w:t>列举主要的内容</w:t>
                  </w:r>
                </w:p>
              </w:tc>
              <w:tc>
                <w:tcPr>
                  <w:tcW w:w="7212" w:type="dxa"/>
                </w:tcPr>
                <w:p>
                  <w:pPr>
                    <w:shd w:val="clear"/>
                    <w:rPr>
                      <w:rFonts w:hint="default" w:eastAsia="宋体"/>
                      <w:highlight w:val="none"/>
                      <w:lang w:val="en-US" w:eastAsia="zh-CN"/>
                    </w:rPr>
                  </w:pPr>
                  <w:r>
                    <w:rPr>
                      <w:rFonts w:hint="eastAsia"/>
                      <w:highlight w:val="none"/>
                      <w:lang w:val="en-US" w:eastAsia="zh-CN"/>
                    </w:rPr>
                    <w:t>工艺较为简单，原料质量有保障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69" w:type="dxa"/>
                </w:tcPr>
                <w:p>
                  <w:pPr>
                    <w:shd w:val="clear"/>
                    <w:rPr>
                      <w:highlight w:val="none"/>
                    </w:rPr>
                  </w:pPr>
                  <w:r>
                    <w:rPr>
                      <w:rFonts w:hint="eastAsia"/>
                      <w:color w:val="000000"/>
                      <w:szCs w:val="21"/>
                      <w:highlight w:val="none"/>
                    </w:rPr>
                    <w:t>组织优势说明</w:t>
                  </w:r>
                </w:p>
              </w:tc>
              <w:tc>
                <w:tcPr>
                  <w:tcW w:w="7212" w:type="dxa"/>
                </w:tcPr>
                <w:p>
                  <w:pPr>
                    <w:shd w:val="clear"/>
                    <w:rPr>
                      <w:rFonts w:hint="default" w:eastAsia="宋体"/>
                      <w:highlight w:val="none"/>
                      <w:lang w:val="en-US" w:eastAsia="zh-CN"/>
                    </w:rPr>
                  </w:pPr>
                  <w:r>
                    <w:rPr>
                      <w:rFonts w:hint="eastAsia"/>
                      <w:highlight w:val="none"/>
                      <w:lang w:val="en-US" w:eastAsia="zh-CN"/>
                    </w:rPr>
                    <w:t>原料牛肉分割占比大，原料固定供方提供、价格占优势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69" w:type="dxa"/>
                </w:tcPr>
                <w:p>
                  <w:pPr>
                    <w:shd w:val="clear"/>
                    <w:rPr>
                      <w:highlight w:val="none"/>
                    </w:rPr>
                  </w:pPr>
                  <w:r>
                    <w:rPr>
                      <w:rFonts w:hint="eastAsia"/>
                      <w:color w:val="000000"/>
                      <w:szCs w:val="21"/>
                      <w:highlight w:val="none"/>
                    </w:rPr>
                    <w:t>组织劣势说明</w:t>
                  </w:r>
                </w:p>
              </w:tc>
              <w:tc>
                <w:tcPr>
                  <w:tcW w:w="7212" w:type="dxa"/>
                </w:tcPr>
                <w:p>
                  <w:pPr>
                    <w:shd w:val="clea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核心人员文化水平较低，对体系理解程度有待提高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69" w:type="dxa"/>
                </w:tcPr>
                <w:p>
                  <w:pPr>
                    <w:shd w:val="clear"/>
                    <w:rPr>
                      <w:highlight w:val="none"/>
                    </w:rPr>
                  </w:pPr>
                  <w:r>
                    <w:rPr>
                      <w:rFonts w:hint="eastAsia"/>
                      <w:color w:val="000000"/>
                      <w:szCs w:val="21"/>
                      <w:highlight w:val="none"/>
                    </w:rPr>
                    <w:t>主要风险的说明</w:t>
                  </w:r>
                </w:p>
              </w:tc>
              <w:tc>
                <w:tcPr>
                  <w:tcW w:w="7212" w:type="dxa"/>
                </w:tcPr>
                <w:p>
                  <w:pPr>
                    <w:shd w:val="clear"/>
                    <w:rPr>
                      <w:rFonts w:hint="default" w:eastAsia="宋体"/>
                      <w:highlight w:val="none"/>
                      <w:lang w:val="en-US" w:eastAsia="zh-CN"/>
                    </w:rPr>
                  </w:pPr>
                  <w:r>
                    <w:rPr>
                      <w:rFonts w:hint="eastAsia"/>
                      <w:highlight w:val="none"/>
                      <w:lang w:val="en-US" w:eastAsia="zh-CN"/>
                    </w:rPr>
                    <w:t>疫情风险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69" w:type="dxa"/>
                </w:tcPr>
                <w:p>
                  <w:pPr>
                    <w:shd w:val="clear"/>
                    <w:rPr>
                      <w:highlight w:val="none"/>
                    </w:rPr>
                  </w:pPr>
                  <w:r>
                    <w:rPr>
                      <w:rFonts w:hint="eastAsia"/>
                      <w:color w:val="000000"/>
                      <w:szCs w:val="21"/>
                      <w:highlight w:val="none"/>
                    </w:rPr>
                    <w:t>机遇的说明</w:t>
                  </w:r>
                </w:p>
              </w:tc>
              <w:tc>
                <w:tcPr>
                  <w:tcW w:w="7212" w:type="dxa"/>
                </w:tcPr>
                <w:p>
                  <w:pPr>
                    <w:shd w:val="clear"/>
                    <w:rPr>
                      <w:rFonts w:hint="default" w:eastAsia="宋体"/>
                      <w:highlight w:val="none"/>
                      <w:lang w:val="en-US" w:eastAsia="zh-CN"/>
                    </w:rPr>
                  </w:pPr>
                  <w:r>
                    <w:rPr>
                      <w:rFonts w:hint="eastAsia"/>
                      <w:highlight w:val="none"/>
                      <w:lang w:val="en-US" w:eastAsia="zh-CN"/>
                    </w:rPr>
                    <w:t>建立体系、规范化管理、开拓新客户</w:t>
                  </w:r>
                </w:p>
              </w:tc>
            </w:tr>
          </w:tbl>
          <w:p>
            <w:pPr>
              <w:shd w:val="clear"/>
              <w:rPr>
                <w:color w:val="000000"/>
                <w:szCs w:val="21"/>
                <w:highlight w:val="none"/>
              </w:rPr>
            </w:pPr>
          </w:p>
          <w:p>
            <w:pPr>
              <w:shd w:val="clear"/>
              <w:rPr>
                <w:rFonts w:hint="default" w:eastAsia="宋体"/>
                <w:color w:val="000000"/>
                <w:szCs w:val="21"/>
                <w:highlight w:val="none"/>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《组织内外部环境识别表》</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366"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rFonts w:hint="default" w:eastAsia="宋体"/>
                <w:lang w:val="en-US" w:eastAsia="zh-CN"/>
              </w:rPr>
            </w:pPr>
            <w:r>
              <w:rPr>
                <w:rFonts w:hint="eastAsia"/>
              </w:rPr>
              <w:t>理解相关方的需求和期望</w:t>
            </w:r>
            <w:r>
              <w:rPr>
                <w:rFonts w:hint="eastAsia"/>
                <w:lang w:val="en-US" w:eastAsia="zh-CN"/>
              </w:rPr>
              <w:t>/合规义务</w:t>
            </w:r>
          </w:p>
        </w:tc>
        <w:tc>
          <w:tcPr>
            <w:tcW w:w="1055" w:type="dxa"/>
            <w:vMerge w:val="restart"/>
            <w:shd w:val="clear" w:color="auto" w:fill="auto"/>
          </w:tcPr>
          <w:p>
            <w:pPr>
              <w:shd w:val="clear"/>
            </w:pPr>
            <w:r>
              <w:rPr>
                <w:rFonts w:hint="eastAsia"/>
              </w:rPr>
              <w:t xml:space="preserve">Q4.2 </w:t>
            </w:r>
          </w:p>
          <w:p>
            <w:pPr>
              <w:shd w:val="clear"/>
              <w:rPr>
                <w:rFonts w:hint="eastAsia"/>
              </w:rPr>
            </w:pPr>
            <w:r>
              <w:rPr>
                <w:rFonts w:hint="eastAsia"/>
              </w:rPr>
              <w:t>F4.2</w:t>
            </w:r>
          </w:p>
          <w:p>
            <w:pPr>
              <w:pStyle w:val="2"/>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如：《相关方需求和期望控制程序》、</w:t>
            </w:r>
            <w:r>
              <w:rPr/>
              <w:sym w:font="Wingdings" w:char="00FE"/>
            </w:r>
            <w:r>
              <w:rPr>
                <w:rFonts w:hint="eastAsia"/>
                <w:lang w:eastAsia="zh-CN"/>
              </w:rPr>
              <w:t>《质量和食品安全管理手册》</w:t>
            </w:r>
            <w:r>
              <w:rPr>
                <w:rFonts w:hint="eastAsia"/>
              </w:rPr>
              <w:t>第4.2</w:t>
            </w:r>
            <w:r>
              <w:rPr>
                <w:rFonts w:hint="eastAsia"/>
                <w:lang w:val="en-US" w:eastAsia="zh-CN"/>
              </w:rPr>
              <w:t>条款</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w:t>
            </w:r>
          </w:p>
          <w:tbl>
            <w:tblPr>
              <w:tblStyle w:val="9"/>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t>重要的相关方</w:t>
                  </w:r>
                </w:p>
              </w:tc>
              <w:tc>
                <w:tcPr>
                  <w:tcW w:w="2701" w:type="dxa"/>
                </w:tcPr>
                <w:p>
                  <w:pPr>
                    <w:shd w:val="clear"/>
                    <w:rPr>
                      <w:highlight w:val="none"/>
                    </w:rPr>
                  </w:pPr>
                  <w:r>
                    <w:rPr>
                      <w:rFonts w:hint="eastAsia"/>
                      <w:highlight w:val="none"/>
                    </w:rPr>
                    <w:t>相关方名称举例</w:t>
                  </w:r>
                </w:p>
              </w:tc>
              <w:tc>
                <w:tcPr>
                  <w:tcW w:w="4729" w:type="dxa"/>
                </w:tcPr>
                <w:p>
                  <w:pPr>
                    <w:shd w:val="clea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shd w:val="clear"/>
                    <w:rPr>
                      <w:rFonts w:hint="default" w:eastAsia="宋体"/>
                      <w:highlight w:val="none"/>
                      <w:lang w:val="en-US" w:eastAsia="zh-CN"/>
                    </w:rPr>
                  </w:pPr>
                  <w:r>
                    <w:rPr>
                      <w:rFonts w:hint="eastAsia"/>
                      <w:highlight w:val="none"/>
                      <w:lang w:val="en-US" w:eastAsia="zh-CN"/>
                    </w:rPr>
                    <w:t>大厂回族自治县市场监督管理局</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7"/>
                    <w:shd w:val="clear"/>
                    <w:ind w:left="0" w:leftChars="0" w:firstLine="0" w:firstLineChars="0"/>
                    <w:rPr>
                      <w:rFonts w:hint="default" w:eastAsia="宋体"/>
                      <w:highlight w:val="none"/>
                      <w:lang w:val="en-US" w:eastAsia="zh-CN"/>
                    </w:rPr>
                  </w:pPr>
                  <w:r>
                    <w:rPr>
                      <w:rFonts w:hint="eastAsia"/>
                      <w:lang w:val="en-US" w:eastAsia="zh-CN"/>
                    </w:rPr>
                    <w:t>衡水市润佳达塑料制品厂、大厂回族自治县华瑞肉类有限公司等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shd w:val="clear"/>
                    <w:rPr>
                      <w:highlight w:val="none"/>
                    </w:rPr>
                  </w:pPr>
                  <w:r>
                    <w:rPr>
                      <w:rFonts w:hint="eastAsia"/>
                      <w:highlight w:val="none"/>
                    </w:rPr>
                    <w:t>☑顾客</w:t>
                  </w:r>
                </w:p>
              </w:tc>
              <w:tc>
                <w:tcPr>
                  <w:tcW w:w="2701" w:type="dxa"/>
                </w:tcPr>
                <w:p>
                  <w:pPr>
                    <w:pStyle w:val="7"/>
                    <w:shd w:val="clear"/>
                    <w:ind w:left="0" w:leftChars="0" w:firstLine="0" w:firstLineChars="0"/>
                    <w:rPr>
                      <w:rFonts w:hint="default" w:eastAsia="宋体"/>
                      <w:highlight w:val="none"/>
                      <w:lang w:val="en-US" w:eastAsia="zh-CN"/>
                    </w:rPr>
                  </w:pPr>
                  <w:r>
                    <w:rPr>
                      <w:rFonts w:hint="eastAsia"/>
                      <w:highlight w:val="none"/>
                      <w:lang w:val="en-US" w:eastAsia="zh-CN"/>
                    </w:rPr>
                    <w:t>蜀渝餐饮、福澳顺祥</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shd w:val="clea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shd w:val="clear"/>
                    <w:rPr>
                      <w:rFonts w:hint="default" w:eastAsia="宋体"/>
                      <w:highlight w:val="none"/>
                      <w:lang w:val="en-US" w:eastAsia="zh-CN"/>
                    </w:rPr>
                  </w:pPr>
                  <w:r>
                    <w:rPr>
                      <w:rFonts w:hint="eastAsia" w:ascii="宋体" w:hAnsi="宋体" w:cs="宋体"/>
                      <w:szCs w:val="21"/>
                      <w:highlight w:val="none"/>
                      <w:lang w:val="en-US" w:eastAsia="zh-CN"/>
                    </w:rPr>
                    <w:t>普通大众</w:t>
                  </w:r>
                </w:p>
              </w:tc>
              <w:tc>
                <w:tcPr>
                  <w:tcW w:w="4729" w:type="dxa"/>
                </w:tcPr>
                <w:p>
                  <w:pPr>
                    <w:shd w:val="clear"/>
                    <w:rPr>
                      <w:highlight w:val="none"/>
                    </w:rPr>
                  </w:pPr>
                  <w:r>
                    <w:rPr>
                      <w:rFonts w:hint="eastAsia"/>
                      <w:highlight w:val="none"/>
                    </w:rPr>
                    <w:t>☑良好的使用感受</w:t>
                  </w:r>
                </w:p>
                <w:p>
                  <w:pPr>
                    <w:shd w:val="clea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szCs w:val="24"/>
                      <w:highlight w:val="none"/>
                    </w:rPr>
                  </w:pPr>
                  <w:r>
                    <w:rPr>
                      <w:rFonts w:hint="eastAsia"/>
                      <w:highlight w:val="none"/>
                    </w:rPr>
                    <w:sym w:font="Wingdings 2" w:char="0052"/>
                  </w:r>
                  <w:r>
                    <w:rPr>
                      <w:rFonts w:hint="eastAsia"/>
                      <w:highlight w:val="none"/>
                    </w:rPr>
                    <w:t>员工</w:t>
                  </w:r>
                </w:p>
              </w:tc>
              <w:tc>
                <w:tcPr>
                  <w:tcW w:w="2701" w:type="dxa"/>
                </w:tcPr>
                <w:p>
                  <w:pPr>
                    <w:shd w:val="clear"/>
                    <w:rPr>
                      <w:rFonts w:hint="default" w:eastAsia="宋体"/>
                      <w:szCs w:val="24"/>
                      <w:highlight w:val="none"/>
                      <w:lang w:val="en-US" w:eastAsia="zh-CN"/>
                    </w:rPr>
                  </w:pPr>
                  <w:r>
                    <w:rPr>
                      <w:rFonts w:hint="eastAsia"/>
                      <w:szCs w:val="24"/>
                      <w:highlight w:val="none"/>
                      <w:lang w:val="en-US" w:eastAsia="zh-CN"/>
                    </w:rPr>
                    <w:t>组织内部员工</w:t>
                  </w:r>
                </w:p>
              </w:tc>
              <w:tc>
                <w:tcPr>
                  <w:tcW w:w="4729" w:type="dxa"/>
                </w:tcPr>
                <w:p>
                  <w:pPr>
                    <w:shd w:val="clear"/>
                    <w:rPr>
                      <w:highlight w:val="none"/>
                    </w:rPr>
                  </w:pPr>
                  <w:r>
                    <w:rPr>
                      <w:rFonts w:hint="eastAsia"/>
                      <w:highlight w:val="none"/>
                    </w:rPr>
                    <w:t>☑组织的持续经营、自我发展</w:t>
                  </w:r>
                </w:p>
                <w:p>
                  <w:pPr>
                    <w:shd w:val="clea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lang w:eastAsia="zh-CN"/>
                    </w:rPr>
                    <w:sym w:font="Wingdings 2" w:char="0052"/>
                  </w:r>
                  <w:r>
                    <w:rPr>
                      <w:rFonts w:hint="eastAsia"/>
                      <w:highlight w:val="none"/>
                    </w:rPr>
                    <w:t>投资方</w:t>
                  </w:r>
                </w:p>
              </w:tc>
              <w:tc>
                <w:tcPr>
                  <w:tcW w:w="2701" w:type="dxa"/>
                </w:tcPr>
                <w:p>
                  <w:pPr>
                    <w:shd w:val="clear"/>
                    <w:rPr>
                      <w:rFonts w:hint="eastAsia" w:eastAsia="宋体"/>
                      <w:highlight w:val="none"/>
                      <w:lang w:eastAsia="zh-CN"/>
                    </w:rPr>
                  </w:pPr>
                  <w:r>
                    <w:rPr>
                      <w:rFonts w:hint="eastAsia"/>
                      <w:highlight w:val="none"/>
                      <w:lang w:val="en-US" w:eastAsia="zh-CN"/>
                    </w:rPr>
                    <w:t>总部</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shd w:val="clear"/>
                    <w:rPr>
                      <w:highlight w:val="none"/>
                    </w:rPr>
                  </w:pPr>
                  <w:r>
                    <w:rPr>
                      <w:rFonts w:hint="eastAsia"/>
                      <w:highlight w:val="none"/>
                      <w:lang w:eastAsia="zh-CN"/>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shd w:val="clear"/>
                    <w:rPr>
                      <w:highlight w:val="none"/>
                    </w:rPr>
                  </w:pPr>
                  <w:r>
                    <w:rPr>
                      <w:rFonts w:hint="eastAsia"/>
                      <w:highlight w:val="none"/>
                    </w:rPr>
                    <w:sym w:font="Wingdings 2" w:char="00A3"/>
                  </w:r>
                  <w:r>
                    <w:rPr>
                      <w:rFonts w:hint="eastAsia"/>
                      <w:highlight w:val="none"/>
                    </w:rPr>
                    <w:t>社区</w:t>
                  </w:r>
                </w:p>
              </w:tc>
              <w:tc>
                <w:tcPr>
                  <w:tcW w:w="2701" w:type="dxa"/>
                </w:tcPr>
                <w:p>
                  <w:pPr>
                    <w:shd w:val="clear"/>
                    <w:rPr>
                      <w:rFonts w:hint="default" w:eastAsia="宋体"/>
                      <w:highlight w:val="none"/>
                      <w:lang w:val="en-US" w:eastAsia="zh-CN"/>
                    </w:rPr>
                  </w:pPr>
                </w:p>
              </w:tc>
              <w:tc>
                <w:tcPr>
                  <w:tcW w:w="4729" w:type="dxa"/>
                </w:tcPr>
                <w:p>
                  <w:pPr>
                    <w:shd w:val="clear"/>
                    <w:rPr>
                      <w:highlight w:val="none"/>
                    </w:rPr>
                  </w:pPr>
                  <w:r>
                    <w:rPr>
                      <w:rFonts w:hint="eastAsia"/>
                      <w:highlight w:val="none"/>
                    </w:rPr>
                    <w:sym w:font="Wingdings 2" w:char="0052"/>
                  </w:r>
                  <w:r>
                    <w:rPr>
                      <w:rFonts w:hint="eastAsia"/>
                      <w:highlight w:val="none"/>
                    </w:rPr>
                    <w:t>不因食品安全问题影响周围人员的就业</w:t>
                  </w:r>
                </w:p>
                <w:p>
                  <w:pPr>
                    <w:shd w:val="clear"/>
                    <w:rPr>
                      <w:rFonts w:hint="default" w:eastAsia="宋体"/>
                      <w:highlight w:val="none"/>
                      <w:lang w:val="en-US" w:eastAsia="zh-CN"/>
                    </w:rPr>
                  </w:pPr>
                  <w:r>
                    <w:rPr>
                      <w:rFonts w:hint="eastAsia"/>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sym w:font="Wingdings 2" w:char="0052"/>
                  </w:r>
                  <w:r>
                    <w:rPr>
                      <w:rFonts w:hint="eastAsia"/>
                      <w:highlight w:val="none"/>
                    </w:rPr>
                    <w:t>其他</w:t>
                  </w:r>
                </w:p>
              </w:tc>
              <w:tc>
                <w:tcPr>
                  <w:tcW w:w="2701" w:type="dxa"/>
                </w:tcPr>
                <w:p>
                  <w:pPr>
                    <w:shd w:val="clear"/>
                    <w:rPr>
                      <w:rFonts w:hint="default" w:eastAsia="宋体"/>
                      <w:highlight w:val="none"/>
                      <w:lang w:val="en-US" w:eastAsia="zh-CN"/>
                    </w:rPr>
                  </w:pPr>
                  <w:r>
                    <w:rPr>
                      <w:rFonts w:hint="eastAsia"/>
                      <w:highlight w:val="none"/>
                      <w:lang w:val="en-US" w:eastAsia="zh-CN"/>
                    </w:rPr>
                    <w:t>工贸小区</w:t>
                  </w:r>
                </w:p>
              </w:tc>
              <w:tc>
                <w:tcPr>
                  <w:tcW w:w="4729" w:type="dxa"/>
                </w:tcPr>
                <w:p>
                  <w:pPr>
                    <w:shd w:val="clear"/>
                    <w:rPr>
                      <w:rFonts w:hint="default" w:eastAsia="宋体"/>
                      <w:highlight w:val="none"/>
                      <w:lang w:val="en-US" w:eastAsia="zh-CN"/>
                    </w:rPr>
                  </w:pPr>
                  <w:r>
                    <w:rPr>
                      <w:rFonts w:hint="eastAsia"/>
                      <w:highlight w:val="none"/>
                    </w:rPr>
                    <w:sym w:font="Wingdings 2" w:char="0052"/>
                  </w:r>
                  <w:r>
                    <w:rPr>
                      <w:rFonts w:hint="eastAsia"/>
                      <w:highlight w:val="none"/>
                    </w:rPr>
                    <w:t>不因食品安全问题影响周围人员的就业</w:t>
                  </w:r>
                  <w:r>
                    <w:rPr>
                      <w:rFonts w:hint="eastAsia"/>
                      <w:highlight w:val="none"/>
                      <w:lang w:val="en-US" w:eastAsia="zh-CN"/>
                    </w:rPr>
                    <w:t>/企业经营</w:t>
                  </w:r>
                </w:p>
                <w:p>
                  <w:pPr>
                    <w:shd w:val="clear"/>
                    <w:rPr>
                      <w:highlight w:val="none"/>
                    </w:rPr>
                  </w:pPr>
                  <w:r>
                    <w:rPr>
                      <w:rFonts w:hint="eastAsia"/>
                      <w:highlight w:val="none"/>
                    </w:rPr>
                    <w:sym w:font="Wingdings 2" w:char="00A3"/>
                  </w:r>
                </w:p>
              </w:tc>
            </w:tr>
          </w:tbl>
          <w:p>
            <w:pPr>
              <w:shd w:val="clear"/>
              <w:rPr>
                <w:rFonts w:hint="eastAsia"/>
              </w:rPr>
            </w:pPr>
          </w:p>
          <w:p>
            <w:pPr>
              <w:shd w:val="clea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《相关方需求和希望确认记录表》、</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确定质量/食品安全管理体系的范围</w:t>
            </w:r>
          </w:p>
        </w:tc>
        <w:tc>
          <w:tcPr>
            <w:tcW w:w="1055" w:type="dxa"/>
            <w:vMerge w:val="restart"/>
            <w:shd w:val="clear" w:color="auto" w:fill="auto"/>
          </w:tcPr>
          <w:p>
            <w:pPr>
              <w:shd w:val="clear"/>
            </w:pPr>
            <w:r>
              <w:rPr>
                <w:rFonts w:hint="eastAsia"/>
              </w:rPr>
              <w:t>Q4.3</w:t>
            </w:r>
          </w:p>
          <w:p>
            <w:pPr>
              <w:shd w:val="clear"/>
              <w:rPr>
                <w:rFonts w:hint="eastAsia"/>
              </w:rPr>
            </w:pPr>
            <w:r>
              <w:rPr>
                <w:rFonts w:hint="eastAsia"/>
              </w:rPr>
              <w:t>F4.3</w:t>
            </w:r>
          </w:p>
          <w:p>
            <w:pPr>
              <w:pStyle w:val="2"/>
              <w:shd w:val="clear"/>
              <w:rPr>
                <w:rFonts w:hint="default" w:eastAsia="宋体"/>
                <w:lang w:val="en-US" w:eastAsia="zh-CN"/>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lang w:eastAsia="zh-CN"/>
              </w:rPr>
              <w:t>《质量和食品安全管理手册》</w:t>
            </w:r>
            <w:r>
              <w:rPr>
                <w:rFonts w:hint="eastAsia"/>
              </w:rPr>
              <w:t>第4.3章</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组织应明确相关管理体系的范围；</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范围的项目</w:t>
                  </w:r>
                </w:p>
              </w:tc>
              <w:tc>
                <w:tcPr>
                  <w:tcW w:w="5446" w:type="dxa"/>
                </w:tcPr>
                <w:p>
                  <w:pPr>
                    <w:shd w:val="clear"/>
                  </w:pPr>
                  <w:r>
                    <w:rPr>
                      <w:rFonts w:hint="eastAsia"/>
                    </w:rPr>
                    <w:t>内容描述</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产品/服务的活动</w:t>
                  </w:r>
                </w:p>
              </w:tc>
              <w:tc>
                <w:tcPr>
                  <w:tcW w:w="5446" w:type="dxa"/>
                </w:tcPr>
                <w:p>
                  <w:pPr>
                    <w:shd w:val="clear"/>
                    <w:rPr>
                      <w:szCs w:val="21"/>
                    </w:rPr>
                  </w:pPr>
                  <w:r>
                    <w:rPr>
                      <w:rFonts w:hint="eastAsia"/>
                      <w:b/>
                      <w:color w:val="0000FF"/>
                      <w:szCs w:val="21"/>
                    </w:rPr>
                    <w:t>牛羊分割和销售</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911" w:type="dxa"/>
                </w:tcPr>
                <w:p>
                  <w:pPr>
                    <w:shd w:val="clear"/>
                  </w:pPr>
                  <w:r>
                    <w:rPr>
                      <w:rFonts w:hint="eastAsia"/>
                    </w:rPr>
                    <w:t xml:space="preserve">审核范围描述 </w:t>
                  </w:r>
                </w:p>
              </w:tc>
              <w:tc>
                <w:tcPr>
                  <w:tcW w:w="5446" w:type="dxa"/>
                </w:tcPr>
                <w:p>
                  <w:pPr>
                    <w:rPr>
                      <w:b/>
                      <w:color w:val="0000FF"/>
                      <w:szCs w:val="21"/>
                    </w:rPr>
                  </w:pPr>
                  <w:r>
                    <w:rPr>
                      <w:rFonts w:hint="eastAsia"/>
                      <w:b/>
                      <w:color w:val="0000FF"/>
                      <w:szCs w:val="21"/>
                    </w:rPr>
                    <w:t>Q：牛羊分割和销售</w:t>
                  </w:r>
                </w:p>
                <w:p>
                  <w:pPr>
                    <w:shd w:val="clear"/>
                    <w:autoSpaceDE w:val="0"/>
                    <w:autoSpaceDN w:val="0"/>
                    <w:adjustRightInd w:val="0"/>
                    <w:jc w:val="left"/>
                  </w:pPr>
                  <w:r>
                    <w:rPr>
                      <w:rFonts w:hint="eastAsia"/>
                      <w:b/>
                      <w:color w:val="0000FF"/>
                      <w:szCs w:val="21"/>
                    </w:rPr>
                    <w:t>F：位于河北省廊坊市</w:t>
                  </w:r>
                  <w:r>
                    <w:rPr>
                      <w:b/>
                      <w:color w:val="0000FF"/>
                      <w:szCs w:val="21"/>
                    </w:rPr>
                    <w:t>大厂回族自治县南王庄工贸小区</w:t>
                  </w:r>
                  <w:r>
                    <w:rPr>
                      <w:rFonts w:hint="eastAsia"/>
                      <w:b/>
                      <w:color w:val="0000FF"/>
                      <w:szCs w:val="21"/>
                    </w:rPr>
                    <w:t>大厂回族自治县京华瑞食品有限公司的牛羊分割和销售</w:t>
                  </w:r>
                </w:p>
              </w:tc>
              <w:tc>
                <w:tcPr>
                  <w:tcW w:w="1686" w:type="dxa"/>
                </w:tcPr>
                <w:p>
                  <w:pPr>
                    <w:shd w:val="clea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bookmarkStart w:id="0" w:name="注册地址"/>
                  <w:r>
                    <w:rPr>
                      <w:sz w:val="21"/>
                      <w:szCs w:val="21"/>
                    </w:rPr>
                    <w:t>大厂回族自治县南王庄工贸小区</w:t>
                  </w:r>
                  <w:bookmarkEnd w:id="0"/>
                </w:p>
              </w:tc>
              <w:tc>
                <w:tcPr>
                  <w:tcW w:w="1686" w:type="dxa"/>
                </w:tcPr>
                <w:p>
                  <w:pPr>
                    <w:shd w:val="clea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shd w:val="clear"/>
                  </w:pPr>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bookmarkStart w:id="1" w:name="生产地址"/>
                  <w:r>
                    <w:rPr>
                      <w:rFonts w:hint="eastAsia"/>
                      <w:sz w:val="21"/>
                      <w:szCs w:val="21"/>
                      <w:lang w:val="en-US" w:eastAsia="zh-CN"/>
                    </w:rPr>
                    <w:t>河北省廊坊市</w:t>
                  </w:r>
                  <w:r>
                    <w:rPr>
                      <w:sz w:val="21"/>
                      <w:szCs w:val="21"/>
                    </w:rPr>
                    <w:t>大厂回族自治县南王庄工贸小区</w:t>
                  </w:r>
                  <w:bookmarkEnd w:id="1"/>
                </w:p>
              </w:tc>
              <w:tc>
                <w:tcPr>
                  <w:tcW w:w="1686" w:type="dxa"/>
                </w:tcPr>
                <w:p>
                  <w:pPr>
                    <w:shd w:val="clea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临时现场</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多场所</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组织单元（部门/分支）</w:t>
                  </w:r>
                </w:p>
              </w:tc>
              <w:tc>
                <w:tcPr>
                  <w:tcW w:w="5446"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shd w:val="clear"/>
                    <w:rPr>
                      <w:u w:val="single"/>
                    </w:rPr>
                  </w:pPr>
                  <w:r>
                    <w:rPr>
                      <w:rFonts w:hint="eastAsia"/>
                    </w:rPr>
                    <w:sym w:font="Wingdings" w:char="00A8"/>
                  </w:r>
                  <w:r>
                    <w:rPr>
                      <w:rFonts w:hint="eastAsia"/>
                    </w:rPr>
                    <w:t xml:space="preserve">分支机构，如： </w:t>
                  </w:r>
                  <w:r>
                    <w:rPr>
                      <w:rFonts w:hint="eastAsia"/>
                      <w:u w:val="single"/>
                    </w:rPr>
                    <w:t xml:space="preserve">                  </w:t>
                  </w:r>
                </w:p>
                <w:p>
                  <w:pPr>
                    <w:shd w:val="clear"/>
                  </w:pPr>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时间</w:t>
                  </w:r>
                </w:p>
              </w:tc>
              <w:tc>
                <w:tcPr>
                  <w:tcW w:w="5446" w:type="dxa"/>
                </w:tcPr>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u w:val="single"/>
                    </w:rPr>
                    <w:t>2021年9月10日</w:t>
                  </w:r>
                </w:p>
                <w:p>
                  <w:pPr>
                    <w:shd w:val="clea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zCs w:val="24"/>
                      <w:highlight w:val="none"/>
                    </w:rPr>
                  </w:pPr>
                  <w:r>
                    <w:rPr>
                      <w:rFonts w:hint="eastAsia"/>
                      <w:highlight w:val="none"/>
                    </w:rPr>
                    <w:t>不适用ISO9001的条款</w:t>
                  </w:r>
                </w:p>
              </w:tc>
              <w:tc>
                <w:tcPr>
                  <w:tcW w:w="5446" w:type="dxa"/>
                </w:tcPr>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8.3产品和服务的设计和开发</w:t>
                  </w:r>
                </w:p>
              </w:tc>
              <w:tc>
                <w:tcPr>
                  <w:tcW w:w="1686" w:type="dxa"/>
                </w:tcPr>
                <w:p>
                  <w:pPr>
                    <w:shd w:val="clear"/>
                    <w:rPr>
                      <w:rFonts w:hint="default" w:eastAsia="宋体"/>
                      <w:highlight w:val="none"/>
                      <w:lang w:val="en-US" w:eastAsia="zh-CN"/>
                    </w:rPr>
                  </w:pP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trike w:val="0"/>
                      <w:dstrike w:val="0"/>
                      <w:szCs w:val="24"/>
                    </w:rPr>
                  </w:pPr>
                  <w:r>
                    <w:rPr>
                      <w:rFonts w:hint="eastAsia"/>
                      <w:strike w:val="0"/>
                      <w:dstrike w:val="0"/>
                    </w:rPr>
                    <w:t>不适用的理由（可多选）</w:t>
                  </w:r>
                </w:p>
              </w:tc>
              <w:tc>
                <w:tcPr>
                  <w:tcW w:w="5446" w:type="dxa"/>
                  <w:vAlign w:val="center"/>
                </w:tcPr>
                <w:p>
                  <w:pPr>
                    <w:shd w:val="clear"/>
                    <w:rPr>
                      <w:strike w:val="0"/>
                      <w:dstrike w:val="0"/>
                    </w:rPr>
                  </w:pPr>
                  <w:r>
                    <w:rPr>
                      <w:rFonts w:hint="eastAsia"/>
                      <w:strike w:val="0"/>
                      <w:dstrike w:val="0"/>
                    </w:rPr>
                    <w:t xml:space="preserve">□受审核组织没有设计开发的责任    </w:t>
                  </w:r>
                </w:p>
                <w:p>
                  <w:pPr>
                    <w:shd w:val="clear"/>
                    <w:rPr>
                      <w:strike w:val="0"/>
                      <w:dstrike w:val="0"/>
                    </w:rPr>
                  </w:pPr>
                  <w:r>
                    <w:rPr>
                      <w:rFonts w:hint="eastAsia"/>
                      <w:strike w:val="0"/>
                      <w:dstrike w:val="0"/>
                    </w:rPr>
                    <w:t xml:space="preserve">□受审核组织没有设计开发的能力   </w:t>
                  </w:r>
                </w:p>
                <w:p>
                  <w:pPr>
                    <w:shd w:val="clear"/>
                    <w:rPr>
                      <w:strike w:val="0"/>
                      <w:dstrike w:val="0"/>
                    </w:rPr>
                  </w:pPr>
                  <w:r>
                    <w:rPr>
                      <w:rFonts w:hint="eastAsia"/>
                      <w:strike w:val="0"/>
                      <w:dstrike w:val="0"/>
                    </w:rPr>
                    <w:t>□受审核组织没有设计开发修改的权力</w:t>
                  </w:r>
                </w:p>
                <w:p>
                  <w:pPr>
                    <w:shd w:val="clear"/>
                    <w:rPr>
                      <w:strike w:val="0"/>
                      <w:dstrike w:val="0"/>
                    </w:rPr>
                  </w:pPr>
                  <w:r>
                    <w:rPr>
                      <w:rFonts w:hint="eastAsia"/>
                      <w:strike w:val="0"/>
                      <w:dstrike w:val="0"/>
                    </w:rPr>
                    <w:sym w:font="Wingdings 2" w:char="00A3"/>
                  </w:r>
                  <w:r>
                    <w:rPr>
                      <w:rFonts w:hint="eastAsia"/>
                      <w:strike w:val="0"/>
                      <w:dstrike w:val="0"/>
                    </w:rPr>
                    <w:t>受审核组织按照</w:t>
                  </w:r>
                  <w:r>
                    <w:rPr>
                      <w:rFonts w:hint="eastAsia"/>
                      <w:strike w:val="0"/>
                      <w:dstrike w:val="0"/>
                    </w:rPr>
                    <w:sym w:font="Wingdings 2" w:char="00A3"/>
                  </w:r>
                  <w:r>
                    <w:rPr>
                      <w:rFonts w:hint="eastAsia"/>
                      <w:strike w:val="0"/>
                      <w:dstrike w:val="0"/>
                    </w:rPr>
                    <w:t>顾客</w:t>
                  </w:r>
                  <w:r>
                    <w:rPr>
                      <w:rFonts w:hint="eastAsia"/>
                      <w:strike w:val="0"/>
                      <w:dstrike w:val="0"/>
                    </w:rPr>
                    <w:sym w:font="Wingdings 2" w:char="00A3"/>
                  </w:r>
                  <w:r>
                    <w:rPr>
                      <w:rFonts w:hint="eastAsia"/>
                      <w:strike w:val="0"/>
                      <w:dstrike w:val="0"/>
                    </w:rPr>
                    <w:t>图纸和合同要求提供生产和服务</w:t>
                  </w:r>
                </w:p>
                <w:p>
                  <w:pPr>
                    <w:shd w:val="clear"/>
                    <w:rPr>
                      <w:strike w:val="0"/>
                      <w:dstrike w:val="0"/>
                    </w:rPr>
                  </w:pPr>
                  <w:r>
                    <w:rPr>
                      <w:rFonts w:hint="eastAsia"/>
                      <w:strike w:val="0"/>
                      <w:dstrike w:val="0"/>
                    </w:rPr>
                    <w:t>□受审核组织按照公司总部的技术要求提供生产和服务</w:t>
                  </w:r>
                </w:p>
                <w:p>
                  <w:pPr>
                    <w:shd w:val="clear"/>
                    <w:rPr>
                      <w:strike w:val="0"/>
                      <w:dstrike w:val="0"/>
                    </w:rPr>
                  </w:pPr>
                  <w:r>
                    <w:rPr>
                      <w:rFonts w:ascii="宋体" w:hAnsi="宋体"/>
                      <w:strike w:val="0"/>
                      <w:dstrike w:val="0"/>
                    </w:rPr>
                    <w:fldChar w:fldCharType="begin"/>
                  </w:r>
                  <w:r>
                    <w:rPr>
                      <w:rFonts w:ascii="宋体" w:hAnsi="宋体"/>
                      <w:strike w:val="0"/>
                      <w:dstrike w:val="0"/>
                    </w:rPr>
                    <w:instrText xml:space="preserve"> </w:instrText>
                  </w:r>
                  <w:r>
                    <w:rPr>
                      <w:rFonts w:hint="eastAsia" w:ascii="宋体" w:hAnsi="宋体"/>
                      <w:strike w:val="0"/>
                      <w:dstrike w:val="0"/>
                    </w:rPr>
                    <w:instrText xml:space="preserve">eq \o\ac(□)</w:instrText>
                  </w:r>
                  <w:r>
                    <w:rPr>
                      <w:rFonts w:ascii="宋体" w:hAnsi="宋体"/>
                      <w:strike w:val="0"/>
                      <w:dstrike w:val="0"/>
                    </w:rPr>
                    <w:fldChar w:fldCharType="end"/>
                  </w:r>
                  <w:r>
                    <w:rPr>
                      <w:rFonts w:hint="eastAsia"/>
                      <w:strike w:val="0"/>
                      <w:dstrike w:val="0"/>
                    </w:rPr>
                    <w:t>受审核组织按照传统工艺提供生产和服务</w:t>
                  </w:r>
                </w:p>
                <w:p>
                  <w:pPr>
                    <w:shd w:val="clear"/>
                    <w:rPr>
                      <w:strike w:val="0"/>
                      <w:dstrike w:val="0"/>
                    </w:rPr>
                  </w:pPr>
                  <w:r>
                    <w:rPr>
                      <w:rFonts w:hint="eastAsia"/>
                      <w:strike w:val="0"/>
                      <w:dstrike w:val="0"/>
                    </w:rPr>
                    <w:sym w:font="Wingdings 2" w:char="00A3"/>
                  </w:r>
                  <w:r>
                    <w:rPr>
                      <w:rFonts w:hint="eastAsia"/>
                      <w:strike w:val="0"/>
                      <w:dstrike w:val="0"/>
                    </w:rPr>
                    <w:t>其他：</w:t>
                  </w:r>
                </w:p>
              </w:tc>
              <w:tc>
                <w:tcPr>
                  <w:tcW w:w="1686" w:type="dxa"/>
                </w:tcPr>
                <w:p>
                  <w:pPr>
                    <w:shd w:val="clear"/>
                    <w:rPr>
                      <w:rFonts w:hint="eastAsia" w:eastAsia="宋体"/>
                      <w:strike w:val="0"/>
                      <w:dstrike w:val="0"/>
                      <w:lang w:val="en-US" w:eastAsia="zh-CN"/>
                    </w:rPr>
                  </w:pPr>
                  <w:r>
                    <w:rPr>
                      <w:rFonts w:hint="eastAsia"/>
                      <w:strike w:val="0"/>
                      <w:dstrike w:val="0"/>
                      <w:lang w:val="en-US" w:eastAsia="zh-CN"/>
                    </w:rPr>
                    <w:t>不适用</w:t>
                  </w:r>
                </w:p>
              </w:tc>
            </w:tr>
          </w:tbl>
          <w:p>
            <w:pPr>
              <w:shd w:val="clear"/>
            </w:pPr>
          </w:p>
          <w:p>
            <w:pPr>
              <w:shd w:val="clear"/>
              <w:rPr>
                <w:color w:val="000000"/>
                <w:szCs w:val="21"/>
              </w:rPr>
            </w:pPr>
            <w:r>
              <w:rPr>
                <w:rFonts w:hint="eastAsia"/>
                <w:color w:val="000000"/>
                <w:szCs w:val="21"/>
              </w:rPr>
              <w:t>在企业的</w:t>
            </w:r>
            <w:r>
              <w:rPr>
                <w:rFonts w:hint="eastAsia"/>
                <w:color w:val="000000"/>
                <w:szCs w:val="21"/>
                <w:lang w:eastAsia="zh-CN"/>
              </w:rPr>
              <w:t>《质量和食品安全管理手册》</w:t>
            </w:r>
            <w:r>
              <w:rPr>
                <w:rFonts w:hint="eastAsia"/>
                <w:color w:val="000000"/>
                <w:szCs w:val="21"/>
              </w:rPr>
              <w:t>中有描述。</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jc w:val="left"/>
            </w:pPr>
            <w:r>
              <w:rPr>
                <w:rFonts w:hint="eastAsia"/>
              </w:rPr>
              <w:t>质量/食品安全管理体系及其过程</w:t>
            </w:r>
          </w:p>
        </w:tc>
        <w:tc>
          <w:tcPr>
            <w:tcW w:w="1055" w:type="dxa"/>
            <w:vMerge w:val="restart"/>
            <w:shd w:val="clear" w:color="auto" w:fill="auto"/>
          </w:tcPr>
          <w:p>
            <w:pPr>
              <w:shd w:val="clear"/>
            </w:pPr>
            <w:r>
              <w:rPr>
                <w:rFonts w:hint="eastAsia"/>
              </w:rPr>
              <w:t xml:space="preserve">Q4.4 F4.4 </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《质量和食品安全管理手册》</w:t>
            </w:r>
            <w:r>
              <w:rPr>
                <w:rFonts w:hint="eastAsia"/>
              </w:rPr>
              <w:t>第4.4章、</w:t>
            </w:r>
            <w:r>
              <w:rPr/>
              <w:sym w:font="Wingdings" w:char="00A8"/>
            </w:r>
            <w:r>
              <w:rPr>
                <w:rFonts w:hint="eastAsia"/>
              </w:rPr>
              <w:t>《过程清单》</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lang w:val="en-US" w:eastAsia="zh-CN"/>
              </w:rPr>
              <w:t xml:space="preserve"> </w:t>
            </w:r>
            <w:r>
              <w:rPr>
                <w:rFonts w:hint="eastAsia"/>
              </w:rPr>
              <w:sym w:font="Wingdings 2" w:char="00A3"/>
            </w:r>
            <w:r>
              <w:rPr>
                <w:rFonts w:hint="eastAsia"/>
              </w:rPr>
              <w:t>设备能力</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w:t>
            </w:r>
            <w:r>
              <w:rPr>
                <w:rFonts w:hint="eastAsia"/>
                <w:lang w:val="en-US" w:eastAsia="zh-CN"/>
              </w:rPr>
              <w:t xml:space="preserve"> </w:t>
            </w:r>
            <w:r>
              <w:rPr>
                <w:rFonts w:hint="eastAsia"/>
              </w:rPr>
              <w:t xml:space="preserve"> </w:t>
            </w:r>
            <w:r>
              <w:rPr>
                <w:rFonts w:hint="eastAsia"/>
              </w:rPr>
              <w:sym w:font="Wingdings 2" w:char="0052"/>
            </w:r>
            <w:r>
              <w:rPr>
                <w:rFonts w:hint="eastAsia"/>
              </w:rPr>
              <w:t>检测水平</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合同评审</w:t>
            </w:r>
            <w:r>
              <w:rPr>
                <w:rFonts w:hint="eastAsia"/>
                <w:lang w:val="en-US" w:eastAsia="zh-CN"/>
              </w:rPr>
              <w:t xml:space="preserve"> </w:t>
            </w:r>
            <w:r>
              <w:rPr>
                <w:rFonts w:hint="eastAsia"/>
              </w:rPr>
              <w:t xml:space="preserve"> </w:t>
            </w:r>
            <w:r>
              <w:rPr>
                <w:rFonts w:hint="eastAsia"/>
              </w:rPr>
              <w:sym w:font="Wingdings 2" w:char="00A3"/>
            </w:r>
            <w:r>
              <w:rPr>
                <w:rFonts w:hint="eastAsia"/>
              </w:rPr>
              <w:t xml:space="preserve">知识保密 </w:t>
            </w:r>
          </w:p>
          <w:p>
            <w:pPr>
              <w:shd w:val="clear"/>
              <w:spacing w:before="40" w:after="40"/>
              <w:rPr>
                <w:rFonts w:hint="default" w:eastAsia="宋体"/>
                <w:lang w:val="en-US" w:eastAsia="zh-CN"/>
              </w:rPr>
            </w:pPr>
            <w:r>
              <w:rPr>
                <w:rFonts w:hint="eastAsia"/>
              </w:rPr>
              <w:sym w:font="Wingdings 2" w:char="00A3"/>
            </w:r>
            <w:r>
              <w:rPr>
                <w:rFonts w:hint="eastAsia"/>
              </w:rPr>
              <w:t>新产品设计开发</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原材料采购</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外部供方控制</w:t>
            </w:r>
            <w:r>
              <w:rPr>
                <w:rFonts w:hint="eastAsia"/>
                <w:lang w:val="en-US" w:eastAsia="zh-CN"/>
              </w:rPr>
              <w:t xml:space="preserve"> </w:t>
            </w:r>
            <w:r>
              <w:rPr>
                <w:rFonts w:hint="eastAsia"/>
              </w:rPr>
              <w:t xml:space="preserve"> </w:t>
            </w:r>
            <w:r>
              <w:rPr>
                <w:rFonts w:hint="eastAsia"/>
              </w:rPr>
              <w:sym w:font="Wingdings 2" w:char="0052"/>
            </w:r>
            <w:r>
              <w:rPr>
                <w:rFonts w:hint="eastAsia"/>
              </w:rPr>
              <w:t>生产/服务控制</w:t>
            </w:r>
            <w:r>
              <w:rPr>
                <w:rFonts w:hint="eastAsia"/>
                <w:lang w:val="en-US" w:eastAsia="zh-CN"/>
              </w:rPr>
              <w:t xml:space="preserve"> </w:t>
            </w:r>
            <w:r>
              <w:rPr>
                <w:rFonts w:hint="eastAsia"/>
              </w:rPr>
              <w:t xml:space="preserve"> </w:t>
            </w:r>
            <w:r>
              <w:rPr>
                <w:rFonts w:hint="eastAsia"/>
              </w:rPr>
              <w:sym w:font="Wingdings 2" w:char="00A3"/>
            </w:r>
            <w:r>
              <w:rPr>
                <w:rFonts w:hint="eastAsia"/>
              </w:rPr>
              <w:t>其他</w:t>
            </w:r>
            <w:r>
              <w:rPr>
                <w:rFonts w:hint="eastAsia"/>
                <w:lang w:val="en-US" w:eastAsia="zh-CN"/>
              </w:rPr>
              <w:t xml:space="preserve"> </w:t>
            </w:r>
          </w:p>
          <w:p>
            <w:pPr>
              <w:pStyle w:val="2"/>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shd w:val="clear"/>
              <w:spacing w:before="40" w:after="40"/>
              <w:jc w:val="left"/>
              <w:rPr>
                <w:rFonts w:hint="eastAsia"/>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color w:val="000000"/>
                <w:szCs w:val="18"/>
                <w:u w:val="single"/>
              </w:rPr>
              <w:t>虫害消杀、计量设备检定、产品第三方检验为外包过程</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52"/>
            </w:r>
            <w:r>
              <w:rPr>
                <w:rFonts w:hint="eastAsia"/>
              </w:rPr>
              <w:t>特种设备管理 ☑控制措施组合确认  ☑PRP和危害控制措施的效果验证  □其他</w:t>
            </w:r>
            <w:r>
              <w:rPr>
                <w:rFonts w:hint="eastAsia"/>
                <w:lang w:eastAsia="zh-CN"/>
              </w:rPr>
              <w:t>——</w:t>
            </w:r>
            <w:r>
              <w:rPr>
                <w:rFonts w:hint="eastAsia"/>
                <w:lang w:val="en-US" w:eastAsia="zh-CN"/>
              </w:rPr>
              <w:t>车辆管理</w:t>
            </w:r>
          </w:p>
          <w:p>
            <w:pPr>
              <w:pStyle w:val="2"/>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shd w:val="clear"/>
              <w:spacing w:before="40" w:after="40"/>
              <w:jc w:val="left"/>
              <w:rPr>
                <w:rFonts w:hint="eastAsia"/>
                <w:highlight w:val="none"/>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color w:val="000000"/>
                <w:szCs w:val="18"/>
                <w:u w:val="single"/>
              </w:rPr>
              <w:t>虫害消杀、计量设备检定、产品第三方检验为外包过程</w:t>
            </w:r>
          </w:p>
          <w:p>
            <w:pPr>
              <w:shd w:val="clear"/>
              <w:spacing w:before="40" w:after="40"/>
              <w:rPr>
                <w:rFonts w:hint="eastAsia"/>
                <w:lang w:val="en-GB"/>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领导作用与承诺</w:t>
            </w:r>
          </w:p>
        </w:tc>
        <w:tc>
          <w:tcPr>
            <w:tcW w:w="1055" w:type="dxa"/>
            <w:vMerge w:val="restart"/>
            <w:shd w:val="clear" w:color="auto" w:fill="auto"/>
          </w:tcPr>
          <w:p>
            <w:pPr>
              <w:shd w:val="clear"/>
            </w:pPr>
            <w:r>
              <w:rPr>
                <w:rFonts w:hint="eastAsia"/>
              </w:rPr>
              <w:t>Q5.1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lang w:eastAsia="zh-CN"/>
              </w:rPr>
              <w:t>《质量和食品安全管理手册》</w:t>
            </w:r>
            <w:r>
              <w:rPr>
                <w:rFonts w:hint="eastAsia"/>
              </w:rPr>
              <w:t>第5.1章和“总经理岗位职责”</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与最高管理者沟通其领导作用与承诺：</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shd w:val="clear"/>
              <w:rPr>
                <w:color w:val="000000"/>
                <w:szCs w:val="21"/>
              </w:rPr>
            </w:pP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领导作用与承诺</w:t>
            </w:r>
          </w:p>
        </w:tc>
        <w:tc>
          <w:tcPr>
            <w:tcW w:w="1055" w:type="dxa"/>
            <w:vMerge w:val="restart"/>
            <w:shd w:val="clear" w:color="auto" w:fill="auto"/>
          </w:tcPr>
          <w:p>
            <w:pPr>
              <w:shd w:val="clear"/>
            </w:pPr>
            <w:r>
              <w:rPr>
                <w:rFonts w:hint="eastAsia"/>
              </w:rPr>
              <w:t>F5.1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lang w:eastAsia="zh-CN"/>
              </w:rPr>
              <w:t>《质量和食品安全管理手册》</w:t>
            </w:r>
            <w:r>
              <w:rPr>
                <w:rFonts w:hint="eastAsia"/>
              </w:rPr>
              <w:t>第5.1章和“总经理岗位职责”</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与最高管理者沟通其领导作用与承诺：</w:t>
            </w:r>
          </w:p>
          <w:p>
            <w:pPr>
              <w:shd w:val="clear"/>
              <w:rPr>
                <w:color w:val="000000"/>
                <w:szCs w:val="21"/>
                <w:shd w:val="clear" w:color="FFFFFF" w:fill="D9D9D9"/>
              </w:rPr>
            </w:pPr>
            <w:r>
              <w:rPr>
                <w:rFonts w:hint="eastAsia"/>
                <w:color w:val="000000"/>
                <w:szCs w:val="21"/>
                <w:shd w:val="clear" w:color="FFFFFF" w:fill="D9D9D9"/>
              </w:rPr>
              <w:t>2018版标准</w:t>
            </w:r>
          </w:p>
          <w:p>
            <w:pPr>
              <w:shd w:val="clea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hd w:val="clear"/>
              <w:snapToGrid w:val="0"/>
              <w:spacing w:line="240" w:lineRule="atLeast"/>
              <w:rPr>
                <w:rFonts w:ascii="黑体" w:eastAsia="黑体"/>
                <w:szCs w:val="21"/>
              </w:rPr>
            </w:pPr>
          </w:p>
          <w:p>
            <w:pPr>
              <w:shd w:val="clea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以顾客为关注焦点</w:t>
            </w:r>
          </w:p>
          <w:p>
            <w:pPr>
              <w:shd w:val="clear"/>
            </w:pPr>
          </w:p>
        </w:tc>
        <w:tc>
          <w:tcPr>
            <w:tcW w:w="1055" w:type="dxa"/>
            <w:vMerge w:val="restart"/>
            <w:shd w:val="clear" w:color="auto" w:fill="auto"/>
          </w:tcPr>
          <w:p>
            <w:pPr>
              <w:shd w:val="clear"/>
            </w:pPr>
            <w:r>
              <w:rPr>
                <w:rFonts w:hint="eastAsia"/>
              </w:rPr>
              <w:t>Q5.1.2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《质量和食品安全管理手册》</w:t>
            </w:r>
            <w:r>
              <w:rPr>
                <w:rFonts w:hint="eastAsia"/>
              </w:rPr>
              <w:t>第5.</w:t>
            </w:r>
            <w:r>
              <w:t>1.2</w:t>
            </w:r>
            <w:r>
              <w:rPr>
                <w:rFonts w:hint="eastAsia"/>
              </w:rPr>
              <w:t>章</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最高管理者应证实其以顾客为关注焦点的领导作用和承诺：</w:t>
            </w:r>
          </w:p>
          <w:p>
            <w:pPr>
              <w:shd w:val="clear"/>
              <w:rPr>
                <w:color w:val="000000"/>
                <w:szCs w:val="21"/>
              </w:rPr>
            </w:pPr>
            <w:r>
              <w:rPr>
                <w:rFonts w:hint="eastAsia"/>
                <w:color w:val="000000"/>
                <w:szCs w:val="21"/>
              </w:rPr>
              <w:t xml:space="preserve">a）确定、理解并持续地满足顾客要求以及适用的法律法规要求； </w:t>
            </w:r>
          </w:p>
          <w:p>
            <w:pPr>
              <w:shd w:val="clear"/>
              <w:rPr>
                <w:color w:val="000000"/>
                <w:szCs w:val="21"/>
              </w:rPr>
            </w:pPr>
            <w:r>
              <w:rPr>
                <w:rFonts w:hint="eastAsia"/>
                <w:color w:val="000000"/>
                <w:szCs w:val="21"/>
              </w:rPr>
              <w:t xml:space="preserve">b）确定和应对能够影响产品和服务的符合性以及增强顾客满意能力的风险和机遇； </w:t>
            </w:r>
          </w:p>
          <w:p>
            <w:pPr>
              <w:shd w:val="clear"/>
              <w:rPr>
                <w:color w:val="000000"/>
                <w:szCs w:val="21"/>
              </w:rPr>
            </w:pPr>
            <w:r>
              <w:rPr>
                <w:rFonts w:hint="eastAsia"/>
                <w:color w:val="000000"/>
                <w:szCs w:val="21"/>
              </w:rPr>
              <w:t xml:space="preserve">c）始终致力于增强顾客满意。 </w:t>
            </w:r>
          </w:p>
          <w:p>
            <w:pPr>
              <w:shd w:val="clear"/>
              <w:rPr>
                <w:color w:val="000000"/>
                <w:szCs w:val="21"/>
              </w:rPr>
            </w:pPr>
            <w:r>
              <w:rPr>
                <w:rFonts w:hint="eastAsia"/>
              </w:rPr>
              <w:t>通过的方式——</w:t>
            </w:r>
          </w:p>
          <w:p>
            <w:pPr>
              <w:shd w:val="clea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pPr>
              <w:shd w:val="clear"/>
            </w:pP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质量/食品安全方针</w:t>
            </w:r>
          </w:p>
        </w:tc>
        <w:tc>
          <w:tcPr>
            <w:tcW w:w="1055" w:type="dxa"/>
            <w:vMerge w:val="restart"/>
            <w:shd w:val="clear" w:color="auto" w:fill="auto"/>
          </w:tcPr>
          <w:p>
            <w:pPr>
              <w:shd w:val="clear"/>
            </w:pPr>
            <w:r>
              <w:rPr>
                <w:rFonts w:hint="eastAsia"/>
              </w:rPr>
              <w:t>Q5.2</w:t>
            </w:r>
          </w:p>
          <w:p>
            <w:pPr>
              <w:shd w:val="clear"/>
              <w:rPr>
                <w:rFonts w:hint="eastAsia"/>
              </w:rPr>
            </w:pPr>
            <w:r>
              <w:rPr>
                <w:rFonts w:hint="eastAsia"/>
              </w:rPr>
              <w:t>F5.2</w:t>
            </w:r>
          </w:p>
          <w:p>
            <w:pPr>
              <w:pStyle w:val="2"/>
              <w:shd w:val="clear"/>
              <w:rPr>
                <w:rFonts w:hint="default" w:eastAsia="宋体"/>
                <w:lang w:val="en-US" w:eastAsia="zh-CN"/>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《质量和食品安全管理手册》</w:t>
            </w:r>
            <w:r>
              <w:rPr>
                <w:rFonts w:hint="eastAsia"/>
              </w:rPr>
              <w:t>第5.2章和“0.2 公司方针和目标”</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rFonts w:hint="eastAsia"/>
                <w:b/>
                <w:bCs/>
                <w:color w:val="000000"/>
                <w:szCs w:val="18"/>
                <w:highlight w:val="none"/>
                <w:lang w:val="en-US" w:eastAsia="zh-CN"/>
              </w:rPr>
            </w:pPr>
          </w:p>
          <w:p>
            <w:pPr>
              <w:keepNext w:val="0"/>
              <w:keepLines w:val="0"/>
              <w:widowControl/>
              <w:suppressLineNumbers w:val="0"/>
              <w:jc w:val="left"/>
              <w:rPr>
                <w:u w:val="single"/>
              </w:rPr>
            </w:pPr>
            <w:r>
              <w:rPr>
                <w:rFonts w:hint="eastAsia" w:ascii="宋体" w:hAnsi="宋体" w:eastAsia="宋体" w:cs="宋体"/>
                <w:b/>
                <w:bCs/>
                <w:color w:val="000000"/>
                <w:kern w:val="0"/>
                <w:sz w:val="28"/>
                <w:szCs w:val="28"/>
                <w:u w:val="single"/>
                <w:lang w:val="en-US" w:eastAsia="zh-CN" w:bidi="ar"/>
              </w:rPr>
              <w:t>质量前段控 品高益中行 食品安全保 口碑树其中</w:t>
            </w:r>
          </w:p>
          <w:p>
            <w:pPr>
              <w:shd w:val="clear"/>
              <w:spacing w:line="500" w:lineRule="exact"/>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相应的质量</w:t>
            </w:r>
            <w:r>
              <w:rPr>
                <w:rFonts w:hint="eastAsia"/>
              </w:rPr>
              <w:t>/食品安全</w:t>
            </w:r>
            <w:r>
              <w:rPr>
                <w:rFonts w:hint="eastAsia"/>
                <w:lang w:val="en-GB"/>
              </w:rPr>
              <w:t>目标提供了框架。</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pPr>
              <w:shd w:val="clear"/>
            </w:pPr>
            <w:r>
              <w:rPr>
                <w:rFonts w:hint="eastAsia"/>
              </w:rPr>
              <w:t>☑包括满足适用食品安全要求的承诺，包括立法/执法要求和顾客的相互同意的食品安全要求（FSMS）</w:t>
            </w:r>
          </w:p>
          <w:p>
            <w:pPr>
              <w:shd w:val="clear"/>
              <w:rPr>
                <w:rFonts w:hint="eastAsia" w:eastAsia="宋体"/>
                <w:lang w:val="en-GB"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w:t>
            </w:r>
            <w:r>
              <w:rPr>
                <w:rFonts w:hint="eastAsia"/>
                <w:lang w:val="en-US" w:eastAsia="zh-CN"/>
              </w:rPr>
              <w:t>管理体系</w:t>
            </w:r>
            <w:r>
              <w:rPr>
                <w:rFonts w:hint="eastAsia"/>
              </w:rPr>
              <w:t>的承诺</w:t>
            </w:r>
            <w:r>
              <w:rPr>
                <w:rFonts w:hint="eastAsia"/>
                <w:lang w:eastAsia="zh-CN"/>
              </w:rPr>
              <w:t>；</w:t>
            </w:r>
          </w:p>
          <w:p>
            <w:pPr>
              <w:shd w:val="clear"/>
            </w:pPr>
            <w:r>
              <w:rPr>
                <w:rFonts w:hint="eastAsia"/>
              </w:rPr>
              <w:t>☑应对内部和外部沟通（FSMS）</w:t>
            </w:r>
          </w:p>
          <w:p>
            <w:pPr>
              <w:shd w:val="clear"/>
              <w:rPr>
                <w:color w:val="0000FF"/>
              </w:rPr>
            </w:pPr>
            <w:r>
              <w:rPr>
                <w:rFonts w:hint="eastAsia"/>
              </w:rPr>
              <w:t>☑解决需求确保食品安全相关的能力（FSMS）</w:t>
            </w:r>
          </w:p>
          <w:p>
            <w:pPr>
              <w:pStyle w:val="2"/>
              <w:shd w:val="clear"/>
            </w:pP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r>
              <w:rPr>
                <w:rFonts w:hint="eastAsia"/>
                <w:lang w:eastAsia="zh-CN"/>
              </w:rPr>
              <w:t>——</w:t>
            </w:r>
            <w:r>
              <w:rPr>
                <w:rFonts w:hint="eastAsia"/>
                <w:lang w:val="en-US" w:eastAsia="zh-CN"/>
              </w:rPr>
              <w:t>合同、招投标等</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组织的岗位、职责和权限</w:t>
            </w:r>
          </w:p>
          <w:p>
            <w:pPr>
              <w:shd w:val="clear"/>
            </w:pPr>
          </w:p>
        </w:tc>
        <w:tc>
          <w:tcPr>
            <w:tcW w:w="1055" w:type="dxa"/>
            <w:vMerge w:val="restart"/>
            <w:shd w:val="clear" w:color="auto" w:fill="auto"/>
          </w:tcPr>
          <w:p>
            <w:pPr>
              <w:shd w:val="clear"/>
            </w:pPr>
            <w:r>
              <w:rPr>
                <w:rFonts w:hint="eastAsia"/>
              </w:rPr>
              <w:t>Q5.3</w:t>
            </w:r>
          </w:p>
          <w:p>
            <w:pPr>
              <w:shd w:val="clear"/>
              <w:rPr>
                <w:rFonts w:hint="eastAsia"/>
              </w:rPr>
            </w:pPr>
            <w:r>
              <w:rPr>
                <w:rFonts w:hint="eastAsia"/>
              </w:rPr>
              <w:t>F5.3</w:t>
            </w:r>
          </w:p>
          <w:p>
            <w:pPr>
              <w:pStyle w:val="2"/>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《质量和食品安全管理手册》</w:t>
            </w:r>
            <w:r>
              <w:rPr>
                <w:rFonts w:hint="eastAsia"/>
              </w:rPr>
              <w:t>第5.3章</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最高管理者确定了组织架构及相关岗位的职责、权限，并进行了全员的沟通和理解；</w:t>
            </w:r>
          </w:p>
          <w:p>
            <w:pPr>
              <w:shd w:val="clear"/>
            </w:pPr>
            <w:r>
              <w:rPr>
                <w:rFonts w:hint="eastAsia"/>
              </w:rPr>
              <w:t>如：</w:t>
            </w:r>
          </w:p>
          <w:p>
            <w:pPr>
              <w:pStyle w:val="2"/>
              <w:shd w:val="clea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864"/>
              <w:gridCol w:w="256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过程名称</w:t>
                  </w:r>
                </w:p>
              </w:tc>
              <w:tc>
                <w:tcPr>
                  <w:tcW w:w="1864" w:type="dxa"/>
                </w:tcPr>
                <w:p>
                  <w:pPr>
                    <w:shd w:val="clear"/>
                  </w:pPr>
                  <w:r>
                    <w:rPr>
                      <w:rFonts w:hint="eastAsia"/>
                    </w:rPr>
                    <w:t>主管部门名称</w:t>
                  </w:r>
                </w:p>
              </w:tc>
              <w:tc>
                <w:tcPr>
                  <w:tcW w:w="2561" w:type="dxa"/>
                </w:tcPr>
                <w:p>
                  <w:pPr>
                    <w:shd w:val="clear"/>
                  </w:pPr>
                  <w:r>
                    <w:rPr>
                      <w:rFonts w:hint="eastAsia"/>
                    </w:rPr>
                    <w:t>过程名称</w:t>
                  </w:r>
                </w:p>
              </w:tc>
              <w:tc>
                <w:tcPr>
                  <w:tcW w:w="2035" w:type="dxa"/>
                </w:tcPr>
                <w:p>
                  <w:pPr>
                    <w:shd w:val="clea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食品安全管理体系</w:t>
                  </w:r>
                  <w:r>
                    <w:rPr>
                      <w:rFonts w:hint="eastAsia"/>
                      <w:lang w:val="en-US" w:eastAsia="zh-CN"/>
                    </w:rPr>
                    <w:t>/HACCP体系</w:t>
                  </w:r>
                  <w:r>
                    <w:rPr>
                      <w:rFonts w:hint="eastAsia"/>
                    </w:rPr>
                    <w:t>策划和推动</w:t>
                  </w:r>
                </w:p>
              </w:tc>
              <w:tc>
                <w:tcPr>
                  <w:tcW w:w="1864" w:type="dxa"/>
                </w:tcPr>
                <w:p>
                  <w:pPr>
                    <w:shd w:val="clear"/>
                    <w:rPr>
                      <w:rFonts w:hint="default" w:eastAsia="宋体"/>
                      <w:lang w:val="en-US" w:eastAsia="zh-CN"/>
                    </w:rPr>
                  </w:pPr>
                  <w:r>
                    <w:rPr>
                      <w:rFonts w:hint="eastAsia"/>
                    </w:rPr>
                    <w:t>食品安全小组</w:t>
                  </w:r>
                </w:p>
              </w:tc>
              <w:tc>
                <w:tcPr>
                  <w:tcW w:w="2561" w:type="dxa"/>
                  <w:vAlign w:val="top"/>
                </w:tcPr>
                <w:p>
                  <w:pPr>
                    <w:shd w:val="clear"/>
                    <w:rPr>
                      <w:rFonts w:ascii="Times New Roman" w:hAnsi="Times New Roman" w:eastAsia="宋体" w:cs="Times New Roman"/>
                      <w:kern w:val="2"/>
                      <w:sz w:val="21"/>
                      <w:lang w:val="en-US" w:eastAsia="zh-CN" w:bidi="ar-SA"/>
                    </w:rPr>
                  </w:pPr>
                  <w:r>
                    <w:rPr>
                      <w:rFonts w:hint="eastAsia"/>
                    </w:rPr>
                    <w:t>生产/服务设计开发过程</w:t>
                  </w:r>
                </w:p>
              </w:tc>
              <w:tc>
                <w:tcPr>
                  <w:tcW w:w="2035"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hint="eastAsia" w:ascii="Times New Roman" w:hAnsi="Times New Roman" w:eastAsia="宋体" w:cs="Times New Roman"/>
                      <w:kern w:val="2"/>
                      <w:sz w:val="21"/>
                      <w:lang w:val="en-US" w:eastAsia="zh-CN" w:bidi="ar-SA"/>
                    </w:rPr>
                  </w:pPr>
                  <w:r>
                    <w:rPr>
                      <w:rFonts w:hint="eastAsia"/>
                    </w:rPr>
                    <w:t>质量管理体系策划和推动</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rPr>
                    <w:t>食品安全小组</w:t>
                  </w:r>
                </w:p>
              </w:tc>
              <w:tc>
                <w:tcPr>
                  <w:tcW w:w="2561" w:type="dxa"/>
                  <w:vAlign w:val="top"/>
                </w:tcPr>
                <w:p>
                  <w:pPr>
                    <w:shd w:val="clear"/>
                    <w:rPr>
                      <w:rFonts w:hint="eastAsia" w:ascii="Times New Roman" w:hAnsi="Times New Roman" w:eastAsia="宋体" w:cs="Times New Roman"/>
                      <w:kern w:val="2"/>
                      <w:sz w:val="21"/>
                      <w:lang w:val="en-US" w:eastAsia="zh-CN" w:bidi="ar-SA"/>
                    </w:rPr>
                  </w:pPr>
                  <w:r>
                    <w:rPr>
                      <w:rFonts w:hint="eastAsia"/>
                    </w:rPr>
                    <w:t>生产/服务放行过程</w:t>
                  </w:r>
                </w:p>
              </w:tc>
              <w:tc>
                <w:tcPr>
                  <w:tcW w:w="2035"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采购控制</w:t>
                  </w:r>
                </w:p>
              </w:tc>
              <w:tc>
                <w:tcPr>
                  <w:tcW w:w="1864" w:type="dxa"/>
                </w:tcPr>
                <w:p>
                  <w:pPr>
                    <w:shd w:val="clear"/>
                    <w:rPr>
                      <w:rFonts w:hint="eastAsia" w:eastAsia="宋体"/>
                      <w:lang w:eastAsia="zh-CN"/>
                    </w:rPr>
                  </w:pPr>
                  <w:r>
                    <w:rPr>
                      <w:rFonts w:hint="eastAsia"/>
                      <w:lang w:val="en-US" w:eastAsia="zh-CN"/>
                    </w:rPr>
                    <w:t>采购部</w:t>
                  </w:r>
                </w:p>
              </w:tc>
              <w:tc>
                <w:tcPr>
                  <w:tcW w:w="2561" w:type="dxa"/>
                </w:tcPr>
                <w:p>
                  <w:pPr>
                    <w:shd w:val="clear"/>
                  </w:pPr>
                  <w:r>
                    <w:rPr>
                      <w:rFonts w:hint="eastAsia"/>
                    </w:rPr>
                    <w:t>FSMS验证和确认</w:t>
                  </w:r>
                </w:p>
              </w:tc>
              <w:tc>
                <w:tcPr>
                  <w:tcW w:w="2035" w:type="dxa"/>
                </w:tcPr>
                <w:p>
                  <w:pPr>
                    <w:shd w:val="clea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人员健康</w:t>
                  </w:r>
                </w:p>
              </w:tc>
              <w:tc>
                <w:tcPr>
                  <w:tcW w:w="1864" w:type="dxa"/>
                </w:tcPr>
                <w:p>
                  <w:pPr>
                    <w:shd w:val="clear"/>
                    <w:rPr>
                      <w:rFonts w:hint="eastAsia" w:eastAsia="宋体"/>
                      <w:lang w:eastAsia="zh-CN"/>
                    </w:rPr>
                  </w:pPr>
                  <w:r>
                    <w:rPr>
                      <w:rFonts w:hint="eastAsia"/>
                      <w:lang w:val="en-US" w:eastAsia="zh-CN"/>
                    </w:rPr>
                    <w:t>办公室</w:t>
                  </w:r>
                </w:p>
              </w:tc>
              <w:tc>
                <w:tcPr>
                  <w:tcW w:w="2561" w:type="dxa"/>
                </w:tcPr>
                <w:p>
                  <w:pPr>
                    <w:shd w:val="clear"/>
                  </w:pPr>
                  <w:r>
                    <w:rPr>
                      <w:rFonts w:hint="eastAsia"/>
                    </w:rPr>
                    <w:t>基础设施</w:t>
                  </w:r>
                </w:p>
              </w:tc>
              <w:tc>
                <w:tcPr>
                  <w:tcW w:w="2035" w:type="dxa"/>
                </w:tcPr>
                <w:p>
                  <w:pPr>
                    <w:shd w:val="clea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ascii="Times New Roman" w:hAnsi="Times New Roman" w:eastAsia="宋体" w:cs="Times New Roman"/>
                      <w:kern w:val="2"/>
                      <w:sz w:val="21"/>
                      <w:lang w:val="en-US" w:eastAsia="zh-CN" w:bidi="ar-SA"/>
                    </w:rPr>
                  </w:pPr>
                  <w:r>
                    <w:rPr>
                      <w:rFonts w:hint="eastAsia"/>
                    </w:rPr>
                    <w:t>外部供方控制</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采购部</w:t>
                  </w:r>
                </w:p>
              </w:tc>
              <w:tc>
                <w:tcPr>
                  <w:tcW w:w="2561" w:type="dxa"/>
                  <w:vAlign w:val="top"/>
                </w:tcPr>
                <w:p>
                  <w:pPr>
                    <w:shd w:val="clear"/>
                    <w:rPr>
                      <w:rFonts w:ascii="Times New Roman" w:hAnsi="Times New Roman" w:eastAsia="宋体" w:cs="Times New Roman"/>
                      <w:kern w:val="2"/>
                      <w:sz w:val="21"/>
                      <w:lang w:val="en-US" w:eastAsia="zh-CN" w:bidi="ar-SA"/>
                    </w:rPr>
                  </w:pPr>
                  <w:r>
                    <w:rPr>
                      <w:rFonts w:hint="eastAsia"/>
                    </w:rPr>
                    <w:t>OPRP和HACCP的实施</w:t>
                  </w:r>
                </w:p>
              </w:tc>
              <w:tc>
                <w:tcPr>
                  <w:tcW w:w="2035"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生产部、质检部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r>
                    <w:rPr>
                      <w:rFonts w:hint="eastAsia"/>
                    </w:rPr>
                    <w:t>顾客满意调查分析</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销售部</w:t>
                  </w:r>
                </w:p>
              </w:tc>
              <w:tc>
                <w:tcPr>
                  <w:tcW w:w="2561" w:type="dxa"/>
                  <w:vAlign w:val="top"/>
                </w:tcPr>
                <w:p>
                  <w:pPr>
                    <w:shd w:val="clear"/>
                    <w:rPr>
                      <w:rFonts w:ascii="Times New Roman" w:hAnsi="Times New Roman" w:eastAsia="宋体" w:cs="Times New Roman"/>
                      <w:kern w:val="2"/>
                      <w:sz w:val="21"/>
                      <w:lang w:val="en-US" w:eastAsia="zh-CN" w:bidi="ar-SA"/>
                    </w:rPr>
                  </w:pPr>
                  <w:r>
                    <w:rPr>
                      <w:rFonts w:hint="eastAsia"/>
                    </w:rPr>
                    <w:t>生产/服务提供过程</w:t>
                  </w:r>
                </w:p>
              </w:tc>
              <w:tc>
                <w:tcPr>
                  <w:tcW w:w="2035"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p>
              </w:tc>
              <w:tc>
                <w:tcPr>
                  <w:tcW w:w="1864" w:type="dxa"/>
                  <w:vAlign w:val="top"/>
                </w:tcPr>
                <w:p>
                  <w:pPr>
                    <w:shd w:val="clear"/>
                    <w:rPr>
                      <w:rFonts w:hint="default" w:ascii="Times New Roman" w:hAnsi="Times New Roman" w:eastAsia="宋体" w:cs="Times New Roman"/>
                      <w:kern w:val="2"/>
                      <w:sz w:val="21"/>
                      <w:lang w:val="en-US" w:eastAsia="zh-CN" w:bidi="ar-SA"/>
                    </w:rPr>
                  </w:pPr>
                </w:p>
              </w:tc>
              <w:tc>
                <w:tcPr>
                  <w:tcW w:w="2561" w:type="dxa"/>
                  <w:vAlign w:val="top"/>
                </w:tcPr>
                <w:p>
                  <w:pPr>
                    <w:shd w:val="clear"/>
                    <w:rPr>
                      <w:rFonts w:ascii="Times New Roman" w:hAnsi="Times New Roman" w:eastAsia="宋体" w:cs="Times New Roman"/>
                      <w:kern w:val="2"/>
                      <w:sz w:val="21"/>
                      <w:lang w:val="en-US" w:eastAsia="zh-CN" w:bidi="ar-SA"/>
                    </w:rPr>
                  </w:pPr>
                </w:p>
              </w:tc>
              <w:tc>
                <w:tcPr>
                  <w:tcW w:w="2035" w:type="dxa"/>
                  <w:vAlign w:val="top"/>
                </w:tcPr>
                <w:p>
                  <w:pPr>
                    <w:shd w:val="clear"/>
                    <w:rPr>
                      <w:rFonts w:hint="eastAsia" w:ascii="Times New Roman" w:hAnsi="Times New Roman" w:eastAsia="宋体" w:cs="Times New Roman"/>
                      <w:kern w:val="2"/>
                      <w:sz w:val="21"/>
                      <w:lang w:val="en-US" w:eastAsia="zh-CN" w:bidi="ar-SA"/>
                    </w:rPr>
                  </w:pPr>
                </w:p>
              </w:tc>
            </w:tr>
          </w:tbl>
          <w:p>
            <w:pPr>
              <w:shd w:val="clear"/>
            </w:pP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1518" w:type="dxa"/>
            <w:shd w:val="clear" w:color="auto" w:fill="auto"/>
          </w:tcPr>
          <w:p>
            <w:pPr>
              <w:shd w:val="clear"/>
            </w:pPr>
          </w:p>
        </w:tc>
        <w:tc>
          <w:tcPr>
            <w:tcW w:w="1055" w:type="dxa"/>
            <w:shd w:val="clear" w:color="auto" w:fill="auto"/>
          </w:tcPr>
          <w:p>
            <w:pPr>
              <w:shd w:val="clear"/>
            </w:pPr>
          </w:p>
        </w:tc>
        <w:tc>
          <w:tcPr>
            <w:tcW w:w="893" w:type="dxa"/>
            <w:shd w:val="clear" w:color="auto" w:fill="auto"/>
          </w:tcPr>
          <w:p>
            <w:pPr>
              <w:shd w:val="clear"/>
            </w:pPr>
          </w:p>
        </w:tc>
        <w:tc>
          <w:tcPr>
            <w:tcW w:w="9373" w:type="dxa"/>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王群先生</w:t>
            </w:r>
            <w:r>
              <w:rPr>
                <w:rFonts w:hint="eastAsia"/>
                <w:u w:val="single"/>
              </w:rPr>
              <w:t xml:space="preserve">     </w:t>
            </w:r>
            <w:r>
              <w:rPr>
                <w:rFonts w:hint="eastAsia"/>
              </w:rPr>
              <w:t>，</w:t>
            </w:r>
          </w:p>
          <w:p>
            <w:pPr>
              <w:shd w:val="clear"/>
            </w:pPr>
          </w:p>
          <w:p>
            <w:pPr>
              <w:shd w:val="clear"/>
            </w:pP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体系</w:t>
            </w:r>
            <w:r>
              <w:t>的有效性和适宜性。</w:t>
            </w:r>
          </w:p>
          <w:p>
            <w:pPr>
              <w:shd w:val="clear"/>
            </w:pPr>
          </w:p>
          <w:p>
            <w:pPr>
              <w:shd w:val="clear"/>
            </w:pPr>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366"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rPr>
            </w:pPr>
            <w:r>
              <w:rPr>
                <w:rFonts w:hint="eastAsia"/>
                <w:color w:val="000000"/>
                <w:szCs w:val="21"/>
              </w:rPr>
              <w:t>应对风险和机遇的措施</w:t>
            </w:r>
          </w:p>
          <w:p>
            <w:pPr>
              <w:shd w:val="clear"/>
            </w:pPr>
          </w:p>
        </w:tc>
        <w:tc>
          <w:tcPr>
            <w:tcW w:w="1055" w:type="dxa"/>
            <w:vMerge w:val="restart"/>
            <w:shd w:val="clear" w:color="auto" w:fill="auto"/>
          </w:tcPr>
          <w:p>
            <w:pPr>
              <w:shd w:val="clear"/>
              <w:rPr>
                <w:color w:val="000000"/>
                <w:szCs w:val="21"/>
              </w:rPr>
            </w:pPr>
            <w:r>
              <w:rPr>
                <w:rFonts w:hint="eastAsia"/>
                <w:color w:val="000000"/>
                <w:szCs w:val="21"/>
              </w:rPr>
              <w:t>Q6.1</w:t>
            </w:r>
          </w:p>
          <w:p>
            <w:pPr>
              <w:shd w:val="clear"/>
            </w:pPr>
            <w:r>
              <w:rPr>
                <w:rFonts w:hint="eastAsia"/>
                <w:color w:val="000000"/>
                <w:szCs w:val="21"/>
              </w:rPr>
              <w:t>F6.1.1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lang w:eastAsia="zh-CN"/>
              </w:rPr>
              <w:t>《质量和食品安全管理手册》</w:t>
            </w:r>
            <w:r>
              <w:rPr>
                <w:rFonts w:hint="eastAsia"/>
              </w:rPr>
              <w:t>第6.1章</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shd w:val="clear"/>
            </w:pPr>
          </w:p>
          <w:p>
            <w:pPr>
              <w:shd w:val="clear"/>
            </w:pPr>
            <w:r>
              <w:rPr>
                <w:rFonts w:hint="eastAsia"/>
              </w:rPr>
              <w:t xml:space="preserve">应对风险的措施类型包括：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Pr>
              <w:shd w:val="clear"/>
            </w:pPr>
          </w:p>
          <w:p>
            <w:pPr>
              <w:shd w:val="clear"/>
            </w:pPr>
            <w:r>
              <w:rPr>
                <w:rFonts w:hint="eastAsia"/>
              </w:rPr>
              <w:t>列举2~3项应对主要风险的描述：</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491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pPr>
                    <w:shd w:val="clear"/>
                  </w:pPr>
                  <w:r>
                    <w:rPr>
                      <w:rFonts w:hint="eastAsia"/>
                    </w:rPr>
                    <w:t>主要的风险描述</w:t>
                  </w:r>
                </w:p>
              </w:tc>
              <w:tc>
                <w:tcPr>
                  <w:tcW w:w="4913" w:type="dxa"/>
                </w:tcPr>
                <w:p>
                  <w:pPr>
                    <w:shd w:val="clear"/>
                    <w:rPr>
                      <w:szCs w:val="24"/>
                    </w:rPr>
                  </w:pPr>
                  <w:r>
                    <w:rPr>
                      <w:rFonts w:hint="eastAsia"/>
                    </w:rPr>
                    <w:t>应对措施</w:t>
                  </w:r>
                </w:p>
              </w:tc>
              <w:tc>
                <w:tcPr>
                  <w:tcW w:w="1717" w:type="dxa"/>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pPr>
                    <w:shd w:val="clear"/>
                    <w:rPr>
                      <w:rFonts w:hint="default" w:eastAsia="宋体"/>
                      <w:szCs w:val="24"/>
                      <w:lang w:val="en-US" w:eastAsia="zh-CN"/>
                    </w:rPr>
                  </w:pPr>
                  <w:r>
                    <w:rPr>
                      <w:rFonts w:hint="eastAsia"/>
                      <w:szCs w:val="24"/>
                      <w:lang w:val="en-US" w:eastAsia="zh-CN"/>
                    </w:rPr>
                    <w:t>疫情风险</w:t>
                  </w:r>
                </w:p>
              </w:tc>
              <w:tc>
                <w:tcPr>
                  <w:tcW w:w="4913" w:type="dxa"/>
                </w:tcPr>
                <w:p>
                  <w:pPr>
                    <w:pStyle w:val="12"/>
                    <w:numPr>
                      <w:ilvl w:val="0"/>
                      <w:numId w:val="1"/>
                    </w:numPr>
                    <w:shd w:val="clear"/>
                    <w:ind w:left="0" w:leftChars="0" w:firstLine="0" w:firstLineChars="0"/>
                    <w:rPr>
                      <w:rFonts w:hint="default"/>
                      <w:lang w:val="en-US" w:eastAsia="zh-CN"/>
                    </w:rPr>
                  </w:pPr>
                  <w:r>
                    <w:rPr>
                      <w:rFonts w:hint="eastAsia"/>
                      <w:lang w:val="en-US" w:eastAsia="zh-CN"/>
                    </w:rPr>
                    <w:t>严格按照疫情防控要求执行；</w:t>
                  </w:r>
                </w:p>
                <w:p>
                  <w:pPr>
                    <w:pStyle w:val="12"/>
                    <w:numPr>
                      <w:ilvl w:val="0"/>
                      <w:numId w:val="1"/>
                    </w:numPr>
                    <w:shd w:val="clear"/>
                    <w:ind w:left="0" w:leftChars="0" w:firstLine="0" w:firstLineChars="0"/>
                    <w:rPr>
                      <w:rFonts w:hint="default"/>
                      <w:lang w:val="en-US" w:eastAsia="zh-CN"/>
                    </w:rPr>
                  </w:pPr>
                  <w:r>
                    <w:rPr>
                      <w:rFonts w:hint="eastAsia"/>
                      <w:lang w:val="en-US" w:eastAsia="zh-CN"/>
                    </w:rPr>
                    <w:t>提前沟通客户需求，合理安排生产订单</w:t>
                  </w:r>
                </w:p>
              </w:tc>
              <w:tc>
                <w:tcPr>
                  <w:tcW w:w="1717" w:type="dxa"/>
                </w:tcPr>
                <w:p>
                  <w:pPr>
                    <w:shd w:val="clea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pPr>
                    <w:shd w:val="clear"/>
                    <w:rPr>
                      <w:rFonts w:hint="default" w:eastAsia="宋体"/>
                      <w:szCs w:val="24"/>
                      <w:lang w:val="en-US" w:eastAsia="zh-CN"/>
                    </w:rPr>
                  </w:pPr>
                  <w:r>
                    <w:rPr>
                      <w:rFonts w:hint="eastAsia"/>
                      <w:szCs w:val="24"/>
                      <w:lang w:val="en-US" w:eastAsia="zh-CN"/>
                    </w:rPr>
                    <w:t>产品安全风险</w:t>
                  </w:r>
                </w:p>
              </w:tc>
              <w:tc>
                <w:tcPr>
                  <w:tcW w:w="4913" w:type="dxa"/>
                </w:tcPr>
                <w:p>
                  <w:pPr>
                    <w:pStyle w:val="12"/>
                    <w:numPr>
                      <w:ilvl w:val="0"/>
                      <w:numId w:val="2"/>
                    </w:numPr>
                    <w:shd w:val="clear"/>
                    <w:rPr>
                      <w:rFonts w:hint="default"/>
                      <w:lang w:val="en-US" w:eastAsia="zh-CN"/>
                    </w:rPr>
                  </w:pPr>
                  <w:r>
                    <w:rPr>
                      <w:rFonts w:hint="eastAsia"/>
                      <w:lang w:val="en-US" w:eastAsia="zh-CN"/>
                    </w:rPr>
                    <w:t>严格控制加工、储存过程温度的控制；</w:t>
                  </w:r>
                </w:p>
                <w:p>
                  <w:pPr>
                    <w:pStyle w:val="12"/>
                    <w:numPr>
                      <w:ilvl w:val="0"/>
                      <w:numId w:val="2"/>
                    </w:numPr>
                    <w:shd w:val="clear"/>
                    <w:rPr>
                      <w:rFonts w:hint="default"/>
                      <w:lang w:val="en-US" w:eastAsia="zh-CN"/>
                    </w:rPr>
                  </w:pPr>
                  <w:r>
                    <w:rPr>
                      <w:rFonts w:hint="eastAsia"/>
                      <w:lang w:val="en-US" w:eastAsia="zh-CN"/>
                    </w:rPr>
                    <w:t>通过体系建立实施，减低产品食品安全风险</w:t>
                  </w:r>
                </w:p>
              </w:tc>
              <w:tc>
                <w:tcPr>
                  <w:tcW w:w="1717" w:type="dxa"/>
                </w:tcPr>
                <w:p>
                  <w:pPr>
                    <w:shd w:val="clear"/>
                  </w:pPr>
                  <w:r>
                    <w:rPr>
                      <w:rFonts w:hint="eastAsia"/>
                      <w:lang w:val="en-US" w:eastAsia="zh-CN"/>
                    </w:rPr>
                    <w:t>基本有效</w:t>
                  </w:r>
                </w:p>
              </w:tc>
            </w:tr>
          </w:tbl>
          <w:p>
            <w:pPr>
              <w:shd w:val="clear"/>
            </w:pPr>
          </w:p>
          <w:p>
            <w:pPr>
              <w:pStyle w:val="12"/>
              <w:shd w:val="clear"/>
            </w:pPr>
          </w:p>
          <w:p>
            <w:pPr>
              <w:pStyle w:val="12"/>
              <w:shd w:val="clear"/>
            </w:pPr>
          </w:p>
          <w:p>
            <w:pPr>
              <w:pStyle w:val="12"/>
              <w:shd w:val="clear"/>
            </w:pPr>
          </w:p>
          <w:p>
            <w:pPr>
              <w:pStyle w:val="12"/>
              <w:shd w:val="clear"/>
            </w:pPr>
          </w:p>
          <w:p>
            <w:pPr>
              <w:pStyle w:val="12"/>
              <w:shd w:val="clear"/>
            </w:pPr>
          </w:p>
          <w:p>
            <w:pPr>
              <w:pStyle w:val="12"/>
              <w:shd w:val="clear"/>
            </w:pPr>
          </w:p>
          <w:p>
            <w:pPr>
              <w:pStyle w:val="12"/>
              <w:shd w:val="clear"/>
            </w:pPr>
          </w:p>
          <w:p>
            <w:pPr>
              <w:shd w:val="clear"/>
            </w:pPr>
            <w:r>
              <w:rPr>
                <w:rFonts w:hint="eastAsia"/>
              </w:rPr>
              <w:t xml:space="preserve">应对机遇的措施类型包括：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pPr>
              <w:shd w:val="clear"/>
            </w:pPr>
            <w:r>
              <w:rPr>
                <w:rFonts w:hint="eastAsia"/>
              </w:rPr>
              <w:t>列举2~3项应对重要机遇的描述：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483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Align w:val="top"/>
                </w:tcPr>
                <w:p>
                  <w:pPr>
                    <w:shd w:val="clear"/>
                    <w:rPr>
                      <w:highlight w:val="none"/>
                    </w:rPr>
                  </w:pPr>
                  <w:r>
                    <w:rPr>
                      <w:rFonts w:hint="eastAsia"/>
                      <w:highlight w:val="none"/>
                    </w:rPr>
                    <w:t>主要的机遇描述</w:t>
                  </w:r>
                </w:p>
              </w:tc>
              <w:tc>
                <w:tcPr>
                  <w:tcW w:w="4831" w:type="dxa"/>
                  <w:vAlign w:val="top"/>
                </w:tcPr>
                <w:p>
                  <w:pPr>
                    <w:shd w:val="clear"/>
                    <w:rPr>
                      <w:szCs w:val="24"/>
                      <w:highlight w:val="none"/>
                    </w:rPr>
                  </w:pPr>
                  <w:r>
                    <w:rPr>
                      <w:rFonts w:hint="eastAsia"/>
                      <w:highlight w:val="none"/>
                    </w:rPr>
                    <w:t>应对措施</w:t>
                  </w:r>
                </w:p>
              </w:tc>
              <w:tc>
                <w:tcPr>
                  <w:tcW w:w="1717" w:type="dxa"/>
                  <w:vAlign w:val="top"/>
                </w:tcPr>
                <w:p>
                  <w:pPr>
                    <w:shd w:val="clea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74" w:type="dxa"/>
                  <w:vAlign w:val="top"/>
                </w:tcPr>
                <w:p>
                  <w:pPr>
                    <w:shd w:val="clear"/>
                    <w:rPr>
                      <w:rFonts w:hint="default" w:eastAsia="宋体"/>
                      <w:highlight w:val="none"/>
                      <w:lang w:val="en-US" w:eastAsia="zh-CN"/>
                    </w:rPr>
                  </w:pPr>
                  <w:r>
                    <w:rPr>
                      <w:rFonts w:hint="eastAsia"/>
                      <w:szCs w:val="24"/>
                      <w:highlight w:val="none"/>
                      <w:lang w:val="en-US" w:eastAsia="zh-CN"/>
                    </w:rPr>
                    <w:t>国家对食品安全的重视</w:t>
                  </w:r>
                </w:p>
              </w:tc>
              <w:tc>
                <w:tcPr>
                  <w:tcW w:w="4831" w:type="dxa"/>
                  <w:vAlign w:val="top"/>
                </w:tcPr>
                <w:p>
                  <w:pPr>
                    <w:pStyle w:val="7"/>
                    <w:numPr>
                      <w:ilvl w:val="0"/>
                      <w:numId w:val="0"/>
                    </w:numPr>
                    <w:shd w:val="clear"/>
                    <w:jc w:val="left"/>
                    <w:rPr>
                      <w:rFonts w:hint="eastAsia"/>
                      <w:highlight w:val="none"/>
                      <w:lang w:val="en-US" w:eastAsia="zh-CN"/>
                    </w:rPr>
                  </w:pPr>
                  <w:r>
                    <w:rPr>
                      <w:rFonts w:hint="eastAsia"/>
                      <w:highlight w:val="none"/>
                      <w:lang w:val="en-US" w:eastAsia="zh-CN"/>
                    </w:rPr>
                    <w:t>1.价格优势、物料源头基本可控，利于开拓市场；</w:t>
                  </w:r>
                </w:p>
                <w:p>
                  <w:pPr>
                    <w:pStyle w:val="7"/>
                    <w:numPr>
                      <w:ilvl w:val="0"/>
                      <w:numId w:val="0"/>
                    </w:numPr>
                    <w:shd w:val="clear"/>
                    <w:jc w:val="left"/>
                    <w:rPr>
                      <w:rFonts w:hint="default"/>
                      <w:highlight w:val="none"/>
                      <w:lang w:val="en-US" w:eastAsia="zh-CN"/>
                    </w:rPr>
                  </w:pPr>
                  <w:r>
                    <w:rPr>
                      <w:rFonts w:hint="eastAsia"/>
                      <w:highlight w:val="none"/>
                      <w:lang w:val="en-US" w:eastAsia="zh-CN"/>
                    </w:rPr>
                    <w:t>2.根据需要进行宣传、扩大影响面</w:t>
                  </w:r>
                </w:p>
              </w:tc>
              <w:tc>
                <w:tcPr>
                  <w:tcW w:w="1717" w:type="dxa"/>
                  <w:vAlign w:val="top"/>
                </w:tcPr>
                <w:p>
                  <w:pPr>
                    <w:shd w:val="clea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Align w:val="top"/>
                </w:tcPr>
                <w:p>
                  <w:pPr>
                    <w:shd w:val="clear"/>
                    <w:rPr>
                      <w:rFonts w:hint="default" w:eastAsia="宋体"/>
                      <w:szCs w:val="24"/>
                      <w:highlight w:val="none"/>
                      <w:lang w:val="en-US" w:eastAsia="zh-CN"/>
                    </w:rPr>
                  </w:pPr>
                </w:p>
              </w:tc>
              <w:tc>
                <w:tcPr>
                  <w:tcW w:w="4831" w:type="dxa"/>
                  <w:vAlign w:val="top"/>
                </w:tcPr>
                <w:p>
                  <w:pPr>
                    <w:numPr>
                      <w:ilvl w:val="0"/>
                      <w:numId w:val="0"/>
                    </w:numPr>
                    <w:shd w:val="clear"/>
                    <w:rPr>
                      <w:rFonts w:hint="default" w:eastAsia="宋体"/>
                      <w:highlight w:val="none"/>
                      <w:lang w:val="en-US" w:eastAsia="zh-CN"/>
                    </w:rPr>
                  </w:pPr>
                </w:p>
              </w:tc>
              <w:tc>
                <w:tcPr>
                  <w:tcW w:w="1717" w:type="dxa"/>
                  <w:vAlign w:val="top"/>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Align w:val="top"/>
                </w:tcPr>
                <w:p>
                  <w:pPr>
                    <w:shd w:val="clear"/>
                    <w:rPr>
                      <w:szCs w:val="24"/>
                      <w:highlight w:val="none"/>
                    </w:rPr>
                  </w:pPr>
                </w:p>
              </w:tc>
              <w:tc>
                <w:tcPr>
                  <w:tcW w:w="4831" w:type="dxa"/>
                  <w:vAlign w:val="top"/>
                </w:tcPr>
                <w:p>
                  <w:pPr>
                    <w:shd w:val="clear"/>
                    <w:rPr>
                      <w:highlight w:val="none"/>
                    </w:rPr>
                  </w:pPr>
                </w:p>
              </w:tc>
              <w:tc>
                <w:tcPr>
                  <w:tcW w:w="1717" w:type="dxa"/>
                  <w:vAlign w:val="top"/>
                </w:tcPr>
                <w:p>
                  <w:pPr>
                    <w:shd w:val="clear"/>
                    <w:rPr>
                      <w:highlight w:val="none"/>
                    </w:rPr>
                  </w:pPr>
                </w:p>
              </w:tc>
            </w:tr>
          </w:tbl>
          <w:p>
            <w:pPr>
              <w:pStyle w:val="12"/>
              <w:shd w:val="clear"/>
            </w:pPr>
          </w:p>
          <w:p>
            <w:pPr>
              <w:shd w:val="clear"/>
              <w:rPr>
                <w:rFonts w:hint="eastAsia" w:eastAsia="宋体"/>
                <w:lang w:eastAsia="zh-CN"/>
              </w:rPr>
            </w:pPr>
            <w:r>
              <w:rPr>
                <w:rFonts w:hint="eastAsia"/>
              </w:rPr>
              <w:t>FSMS</w:t>
            </w:r>
            <w:r>
              <w:rPr>
                <w:rFonts w:hint="eastAsia"/>
                <w:lang w:eastAsia="zh-CN"/>
              </w:rPr>
              <w:t>：</w:t>
            </w:r>
          </w:p>
          <w:p>
            <w:pPr>
              <w:shd w:val="clea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Pr>
              <w:shd w:val="clear"/>
            </w:pPr>
          </w:p>
          <w:p>
            <w:pPr>
              <w:shd w:val="clea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pPr>
              <w:shd w:val="clear"/>
            </w:pPr>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Pr>
              <w:shd w:val="clear"/>
            </w:pP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pPr>
              <w:shd w:val="clear"/>
            </w:pPr>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518" w:type="dxa"/>
            <w:vMerge w:val="restart"/>
            <w:shd w:val="clear" w:color="auto" w:fill="auto"/>
          </w:tcPr>
          <w:p>
            <w:pPr>
              <w:shd w:val="clear"/>
            </w:pPr>
          </w:p>
        </w:tc>
        <w:tc>
          <w:tcPr>
            <w:tcW w:w="1055" w:type="dxa"/>
            <w:shd w:val="clear" w:color="auto" w:fill="auto"/>
          </w:tcPr>
          <w:p>
            <w:pPr>
              <w:shd w:val="clear"/>
            </w:pPr>
            <w:r>
              <w:rPr>
                <w:rFonts w:hint="eastAsia"/>
                <w:color w:val="000000"/>
                <w:szCs w:val="21"/>
              </w:rPr>
              <w:t>F6.1.2</w:t>
            </w: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ascii="CIDFont+F5" w:hAnsi="CIDFont+F5" w:eastAsia="CIDFont+F5"/>
              </w:rPr>
            </w:pPr>
            <w:r>
              <w:rPr>
                <w:rFonts w:hint="eastAsia" w:ascii="CIDFont+F5" w:hAnsi="CIDFont+F5" w:eastAsia="CIDFont+F5"/>
              </w:rPr>
              <w:t>该组织策划了：</w:t>
            </w:r>
          </w:p>
          <w:p>
            <w:pPr>
              <w:shd w:val="clea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《风险应对措施评价表》；</w:t>
            </w:r>
          </w:p>
          <w:p>
            <w:pPr>
              <w:shd w:val="clear"/>
              <w:jc w:val="left"/>
              <w:rPr>
                <w:rFonts w:ascii="CIDFont+F5" w:hAnsi="CIDFont+F5" w:eastAsia="CIDFont+F5"/>
              </w:rPr>
            </w:pPr>
            <w:r>
              <w:rPr>
                <w:rFonts w:hint="eastAsia" w:ascii="CIDFont+F5" w:hAnsi="CIDFont+F5" w:eastAsia="CIDFont+F5"/>
              </w:rPr>
              <w:t>b) 并进行了:</w:t>
            </w:r>
          </w:p>
          <w:p>
            <w:pPr>
              <w:shd w:val="clea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366"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518" w:type="dxa"/>
            <w:vMerge w:val="continue"/>
            <w:shd w:val="clear" w:color="auto" w:fill="auto"/>
          </w:tcPr>
          <w:p>
            <w:pPr>
              <w:shd w:val="clear"/>
            </w:pPr>
          </w:p>
        </w:tc>
        <w:tc>
          <w:tcPr>
            <w:tcW w:w="1055" w:type="dxa"/>
            <w:shd w:val="clear" w:color="auto" w:fill="auto"/>
          </w:tcPr>
          <w:p>
            <w:pPr>
              <w:shd w:val="clear"/>
            </w:pPr>
            <w:r>
              <w:rPr>
                <w:rFonts w:hint="eastAsia"/>
                <w:color w:val="000000"/>
                <w:szCs w:val="21"/>
              </w:rPr>
              <w:t>F6.1.3</w:t>
            </w:r>
          </w:p>
        </w:tc>
        <w:tc>
          <w:tcPr>
            <w:tcW w:w="893" w:type="dxa"/>
            <w:shd w:val="clear" w:color="auto" w:fill="auto"/>
          </w:tcPr>
          <w:p>
            <w:pPr>
              <w:shd w:val="clear"/>
            </w:pPr>
            <w:r>
              <w:rPr>
                <w:rFonts w:hint="eastAsia"/>
              </w:rPr>
              <w:t>运行证据</w:t>
            </w:r>
          </w:p>
        </w:tc>
        <w:tc>
          <w:tcPr>
            <w:tcW w:w="9373" w:type="dxa"/>
            <w:shd w:val="clear" w:color="auto" w:fill="auto"/>
          </w:tcPr>
          <w:p>
            <w:pPr>
              <w:shd w:val="clear"/>
              <w:jc w:val="left"/>
              <w:rPr>
                <w:rFonts w:ascii="CIDFont+F5" w:hAnsi="CIDFont+F5" w:eastAsia="CIDFont+F5"/>
              </w:rPr>
            </w:pPr>
            <w:r>
              <w:rPr>
                <w:rFonts w:hint="eastAsia" w:ascii="CIDFont+F5" w:hAnsi="CIDFont+F5" w:eastAsia="CIDFont+F5"/>
              </w:rPr>
              <w:t>该组织为应对风险和机遇而采取的行动与以下方面相称：</w:t>
            </w:r>
          </w:p>
          <w:p>
            <w:pPr>
              <w:shd w:val="clea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366"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1055" w:type="dxa"/>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rFonts w:hint="eastAsia" w:eastAsia="宋体"/>
                <w:highlight w:val="none"/>
                <w:lang w:eastAsia="zh-CN"/>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w:t>
            </w:r>
            <w:r>
              <w:rPr>
                <w:rFonts w:hint="eastAsia"/>
                <w:highlight w:val="none"/>
                <w:lang w:val="en-US" w:eastAsia="zh-CN"/>
              </w:rPr>
              <w:t>质量和食品安全管理体系目标分解一栏表</w:t>
            </w:r>
            <w:r>
              <w:rPr>
                <w:rFonts w:hint="eastAsia"/>
                <w:highlight w:val="none"/>
              </w:rPr>
              <w:t>》</w:t>
            </w:r>
            <w:r>
              <w:rPr>
                <w:rFonts w:hint="eastAsia"/>
                <w:highlight w:val="none"/>
                <w:lang w:eastAsia="zh-CN"/>
              </w:rPr>
              <w:t>、</w:t>
            </w:r>
            <w:r>
              <w:rPr>
                <w:highlight w:val="none"/>
              </w:rPr>
              <w:sym w:font="Wingdings" w:char="00FE"/>
            </w:r>
            <w:r>
              <w:rPr>
                <w:rFonts w:hint="eastAsia"/>
                <w:highlight w:val="none"/>
                <w:lang w:eastAsia="zh-CN"/>
              </w:rPr>
              <w:t>《目标完成情况分析报告》</w:t>
            </w:r>
          </w:p>
        </w:tc>
        <w:tc>
          <w:tcPr>
            <w:tcW w:w="1366"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组织建立了与方针一致的文件化的管理目标。为实现总的质量</w:t>
            </w:r>
            <w:r>
              <w:rPr>
                <w:rFonts w:hint="eastAsia" w:ascii="宋体" w:hAnsi="宋体"/>
                <w:szCs w:val="21"/>
                <w:highlight w:val="none"/>
              </w:rPr>
              <w:t>/食品安全</w:t>
            </w:r>
            <w:r>
              <w:rPr>
                <w:rFonts w:hint="eastAsia"/>
                <w:highlight w:val="none"/>
              </w:rPr>
              <w:t>目标而建立的各层级质量</w:t>
            </w:r>
            <w:r>
              <w:rPr>
                <w:rFonts w:hint="eastAsia" w:ascii="宋体" w:hAnsi="宋体"/>
                <w:szCs w:val="21"/>
                <w:highlight w:val="none"/>
              </w:rPr>
              <w:t>/食品安全</w:t>
            </w:r>
            <w:r>
              <w:rPr>
                <w:rFonts w:hint="eastAsia"/>
                <w:highlight w:val="none"/>
              </w:rPr>
              <w:t>目标具体、有针对性、可测量并且可实现。</w:t>
            </w:r>
          </w:p>
          <w:p>
            <w:pPr>
              <w:shd w:val="clear"/>
              <w:rPr>
                <w:rFonts w:hint="eastAsia"/>
                <w:highlight w:val="none"/>
              </w:rPr>
            </w:pPr>
            <w:r>
              <w:rPr>
                <w:rFonts w:hint="eastAsia"/>
                <w:highlight w:val="none"/>
              </w:rPr>
              <w:t>总质量</w:t>
            </w:r>
            <w:r>
              <w:rPr>
                <w:rFonts w:hint="eastAsia" w:ascii="宋体" w:hAnsi="宋体"/>
                <w:szCs w:val="21"/>
                <w:highlight w:val="none"/>
              </w:rPr>
              <w:t>/食品安全</w:t>
            </w:r>
            <w:r>
              <w:rPr>
                <w:rFonts w:hint="eastAsia"/>
                <w:highlight w:val="none"/>
              </w:rPr>
              <w:t>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882"/>
              <w:gridCol w:w="3127"/>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635"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目标</w:t>
                  </w:r>
                </w:p>
              </w:tc>
              <w:tc>
                <w:tcPr>
                  <w:tcW w:w="882"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考核频次</w:t>
                  </w:r>
                </w:p>
              </w:tc>
              <w:tc>
                <w:tcPr>
                  <w:tcW w:w="3127" w:type="dxa"/>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2094" w:type="dxa"/>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完成情况（</w:t>
                  </w:r>
                  <w:r>
                    <w:rPr>
                      <w:rFonts w:hint="eastAsia"/>
                      <w:color w:val="000000"/>
                      <w:szCs w:val="18"/>
                      <w:lang w:val="en-US" w:eastAsia="zh-CN"/>
                    </w:rPr>
                    <w:t>2021.09-2022.04</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635" w:type="dxa"/>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投产用原辅料合格率100%</w:t>
                  </w:r>
                </w:p>
              </w:tc>
              <w:tc>
                <w:tcPr>
                  <w:tcW w:w="882"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半年</w:t>
                  </w:r>
                </w:p>
              </w:tc>
              <w:tc>
                <w:tcPr>
                  <w:tcW w:w="312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通过分析报告内容体现</w:t>
                  </w:r>
                </w:p>
              </w:tc>
              <w:tc>
                <w:tcPr>
                  <w:tcW w:w="209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635" w:type="dxa"/>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出厂产品合格率100%</w:t>
                  </w:r>
                </w:p>
              </w:tc>
              <w:tc>
                <w:tcPr>
                  <w:tcW w:w="88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半年</w:t>
                  </w:r>
                </w:p>
              </w:tc>
              <w:tc>
                <w:tcPr>
                  <w:tcW w:w="312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通过分析报告内容体现</w:t>
                  </w:r>
                </w:p>
              </w:tc>
              <w:tc>
                <w:tcPr>
                  <w:tcW w:w="209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35" w:type="dxa"/>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顾客满意度96％以上</w:t>
                  </w:r>
                </w:p>
              </w:tc>
              <w:tc>
                <w:tcPr>
                  <w:tcW w:w="88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半年</w:t>
                  </w:r>
                </w:p>
              </w:tc>
              <w:tc>
                <w:tcPr>
                  <w:tcW w:w="312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通过分析报告内容体现</w:t>
                  </w:r>
                </w:p>
              </w:tc>
              <w:tc>
                <w:tcPr>
                  <w:tcW w:w="209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35"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追求食品安全事故为0</w:t>
                  </w:r>
                </w:p>
              </w:tc>
              <w:tc>
                <w:tcPr>
                  <w:tcW w:w="88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半年</w:t>
                  </w:r>
                </w:p>
              </w:tc>
              <w:tc>
                <w:tcPr>
                  <w:tcW w:w="312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通过分析报告内容体现</w:t>
                  </w:r>
                </w:p>
              </w:tc>
              <w:tc>
                <w:tcPr>
                  <w:tcW w:w="209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35" w:type="dxa"/>
                </w:tcPr>
                <w:p>
                  <w:pPr>
                    <w:widowControl/>
                    <w:spacing w:before="40"/>
                    <w:jc w:val="left"/>
                    <w:rPr>
                      <w:color w:val="000000"/>
                      <w:szCs w:val="18"/>
                      <w:highlight w:val="none"/>
                    </w:rPr>
                  </w:pPr>
                </w:p>
              </w:tc>
              <w:tc>
                <w:tcPr>
                  <w:tcW w:w="882" w:type="dxa"/>
                </w:tcPr>
                <w:p>
                  <w:pPr>
                    <w:widowControl/>
                    <w:spacing w:before="40"/>
                    <w:jc w:val="left"/>
                    <w:rPr>
                      <w:color w:val="000000"/>
                      <w:szCs w:val="18"/>
                      <w:highlight w:val="none"/>
                    </w:rPr>
                  </w:pPr>
                </w:p>
              </w:tc>
              <w:tc>
                <w:tcPr>
                  <w:tcW w:w="3127" w:type="dxa"/>
                </w:tcPr>
                <w:p>
                  <w:pPr>
                    <w:widowControl/>
                    <w:spacing w:before="40"/>
                    <w:jc w:val="left"/>
                    <w:rPr>
                      <w:color w:val="000000"/>
                      <w:szCs w:val="18"/>
                      <w:highlight w:val="none"/>
                    </w:rPr>
                  </w:pPr>
                </w:p>
              </w:tc>
              <w:tc>
                <w:tcPr>
                  <w:tcW w:w="2094"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35" w:type="dxa"/>
                </w:tcPr>
                <w:p>
                  <w:pPr>
                    <w:widowControl/>
                    <w:spacing w:before="40"/>
                    <w:jc w:val="left"/>
                    <w:rPr>
                      <w:color w:val="000000"/>
                      <w:szCs w:val="18"/>
                      <w:highlight w:val="none"/>
                    </w:rPr>
                  </w:pPr>
                </w:p>
              </w:tc>
              <w:tc>
                <w:tcPr>
                  <w:tcW w:w="882" w:type="dxa"/>
                </w:tcPr>
                <w:p>
                  <w:pPr>
                    <w:widowControl/>
                    <w:spacing w:before="40"/>
                    <w:jc w:val="left"/>
                    <w:rPr>
                      <w:color w:val="000000"/>
                      <w:szCs w:val="18"/>
                      <w:highlight w:val="none"/>
                    </w:rPr>
                  </w:pPr>
                </w:p>
              </w:tc>
              <w:tc>
                <w:tcPr>
                  <w:tcW w:w="3127" w:type="dxa"/>
                </w:tcPr>
                <w:p>
                  <w:pPr>
                    <w:widowControl/>
                    <w:spacing w:before="40"/>
                    <w:jc w:val="left"/>
                    <w:rPr>
                      <w:color w:val="000000"/>
                      <w:szCs w:val="18"/>
                      <w:highlight w:val="none"/>
                    </w:rPr>
                  </w:pPr>
                </w:p>
              </w:tc>
              <w:tc>
                <w:tcPr>
                  <w:tcW w:w="2094" w:type="dxa"/>
                </w:tcPr>
                <w:p>
                  <w:pPr>
                    <w:widowControl/>
                    <w:spacing w:before="40"/>
                    <w:jc w:val="left"/>
                    <w:rPr>
                      <w:color w:val="000000"/>
                      <w:szCs w:val="18"/>
                      <w:highlight w:val="none"/>
                    </w:rPr>
                  </w:pPr>
                </w:p>
              </w:tc>
            </w:tr>
          </w:tbl>
          <w:p>
            <w:pPr>
              <w:shd w:val="clear"/>
              <w:rPr>
                <w:rFonts w:hint="default" w:eastAsia="宋体"/>
                <w:highlight w:val="none"/>
                <w:u w:val="none"/>
                <w:lang w:val="en-US" w:eastAsia="zh-CN"/>
              </w:rPr>
            </w:pPr>
            <w:r>
              <w:rPr>
                <w:rFonts w:ascii="宋体" w:hAnsi="宋体"/>
                <w:highlight w:val="none"/>
                <w:u w:val="none"/>
              </w:rPr>
              <w:fldChar w:fldCharType="begin"/>
            </w:r>
            <w:r>
              <w:rPr>
                <w:rFonts w:ascii="宋体" w:hAnsi="宋体"/>
                <w:highlight w:val="none"/>
                <w:u w:val="none"/>
              </w:rPr>
              <w:instrText xml:space="preserve"> </w:instrText>
            </w:r>
            <w:r>
              <w:rPr>
                <w:rFonts w:hint="eastAsia" w:ascii="宋体" w:hAnsi="宋体"/>
                <w:highlight w:val="none"/>
                <w:u w:val="none"/>
              </w:rPr>
              <w:instrText xml:space="preserve">eq \o\ac(□</w:instrText>
            </w:r>
            <w:r>
              <w:rPr>
                <w:rFonts w:hint="eastAsia" w:ascii="宋体" w:hAnsi="宋体"/>
                <w:highlight w:val="none"/>
                <w:u w:val="none"/>
                <w:lang w:eastAsia="zh-CN"/>
              </w:rPr>
              <w:instrText xml:space="preserve">,</w:instrText>
            </w:r>
            <w:r>
              <w:rPr>
                <w:rFonts w:hint="eastAsia" w:ascii="宋体" w:hAnsi="宋体"/>
                <w:position w:val="2"/>
                <w:sz w:val="13"/>
                <w:highlight w:val="none"/>
                <w:u w:val="none"/>
                <w:lang w:eastAsia="zh-CN"/>
              </w:rPr>
              <w:instrText xml:space="preserve">√</w:instrText>
            </w:r>
            <w:r>
              <w:rPr>
                <w:rFonts w:hint="eastAsia" w:ascii="宋体" w:hAnsi="宋体"/>
                <w:highlight w:val="none"/>
                <w:u w:val="none"/>
              </w:rPr>
              <w:instrText xml:space="preserve">)</w:instrText>
            </w:r>
            <w:r>
              <w:rPr>
                <w:rFonts w:ascii="宋体" w:hAnsi="宋体"/>
                <w:highlight w:val="none"/>
                <w:u w:val="none"/>
              </w:rPr>
              <w:fldChar w:fldCharType="end"/>
            </w:r>
            <w:r>
              <w:rPr>
                <w:rFonts w:hint="eastAsia"/>
                <w:highlight w:val="none"/>
                <w:u w:val="none"/>
              </w:rPr>
              <w:t>目标已实现</w:t>
            </w:r>
            <w:r>
              <w:rPr>
                <w:rFonts w:hint="eastAsia"/>
                <w:highlight w:val="none"/>
                <w:u w:val="none"/>
                <w:lang w:eastAsia="zh-CN"/>
              </w:rPr>
              <w:t>，</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366"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rPr>
            </w:pPr>
            <w:r>
              <w:rPr>
                <w:rFonts w:hint="eastAsia"/>
                <w:color w:val="000000"/>
                <w:szCs w:val="21"/>
              </w:rPr>
              <w:t>变更的策划</w:t>
            </w:r>
          </w:p>
          <w:p>
            <w:pPr>
              <w:shd w:val="clear"/>
            </w:pPr>
          </w:p>
        </w:tc>
        <w:tc>
          <w:tcPr>
            <w:tcW w:w="1055" w:type="dxa"/>
            <w:vMerge w:val="restart"/>
            <w:shd w:val="clear" w:color="auto" w:fill="auto"/>
          </w:tcPr>
          <w:p>
            <w:pPr>
              <w:shd w:val="clear"/>
              <w:rPr>
                <w:color w:val="000000"/>
                <w:szCs w:val="21"/>
              </w:rPr>
            </w:pPr>
            <w:r>
              <w:rPr>
                <w:rFonts w:hint="eastAsia"/>
                <w:color w:val="000000"/>
                <w:szCs w:val="21"/>
              </w:rPr>
              <w:t>Q6.3</w:t>
            </w:r>
          </w:p>
          <w:p>
            <w:pPr>
              <w:shd w:val="clear"/>
            </w:pPr>
            <w:r>
              <w:rPr>
                <w:rFonts w:hint="eastAsia"/>
                <w:color w:val="000000"/>
                <w:szCs w:val="21"/>
              </w:rPr>
              <w:t>F6.3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rFonts w:hint="eastAsia"/>
              </w:rPr>
              <w:t>第6.3章</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color w:val="000000"/>
                <w:szCs w:val="21"/>
              </w:rPr>
              <w:t xml:space="preserve"> </w:t>
            </w:r>
            <w:r>
              <w:rPr>
                <w:rFonts w:hint="eastAsia"/>
              </w:rPr>
              <w:t>组织对相关管理体系进行变更时，变更应按所策划的方式实施；审核周期内的重大变更有：</w:t>
            </w:r>
          </w:p>
          <w:p>
            <w:pPr>
              <w:shd w:val="clear"/>
              <w:spacing w:before="40" w:after="40"/>
            </w:pPr>
            <w:r>
              <w:rPr>
                <w:rFonts w:hint="eastAsia"/>
              </w:rPr>
              <w:t>□组织结构变更 □部门职责变更 □主要原材料 □关键人员</w:t>
            </w:r>
            <w:r>
              <w:rPr>
                <w:rFonts w:hint="eastAsia"/>
                <w:lang w:val="en-US" w:eastAsia="zh-CN"/>
              </w:rPr>
              <w:t xml:space="preserve"> </w:t>
            </w:r>
            <w:r>
              <w:rPr>
                <w:rFonts w:hint="eastAsia"/>
              </w:rPr>
              <w:t xml:space="preserve"> □生产工艺/服务流程 </w:t>
            </w:r>
          </w:p>
          <w:p>
            <w:pPr>
              <w:shd w:val="clear"/>
              <w:spacing w:before="40" w:after="40"/>
              <w:rPr>
                <w:rFonts w:hint="eastAsia"/>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审核周期内</w:t>
            </w:r>
            <w:r>
              <w:rPr>
                <w:rFonts w:hint="eastAsia"/>
              </w:rPr>
              <w:t>未发生</w:t>
            </w:r>
          </w:p>
          <w:p>
            <w:pPr>
              <w:pStyle w:val="2"/>
              <w:shd w:val="clea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pPr>
                    <w:shd w:val="clear"/>
                  </w:pPr>
                  <w:r>
                    <w:rPr>
                      <w:rFonts w:hint="eastAsia"/>
                    </w:rPr>
                    <w:t>体系变更的内容说明</w:t>
                  </w:r>
                </w:p>
              </w:tc>
              <w:tc>
                <w:tcPr>
                  <w:tcW w:w="3632" w:type="dxa"/>
                </w:tcPr>
                <w:p>
                  <w:pPr>
                    <w:shd w:val="clear"/>
                  </w:pPr>
                </w:p>
              </w:tc>
              <w:tc>
                <w:tcPr>
                  <w:tcW w:w="3015"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评价内容</w:t>
                  </w:r>
                </w:p>
              </w:tc>
              <w:tc>
                <w:tcPr>
                  <w:tcW w:w="3632" w:type="dxa"/>
                </w:tcPr>
                <w:p>
                  <w:pPr>
                    <w:shd w:val="clear"/>
                  </w:pPr>
                  <w:r>
                    <w:rPr>
                      <w:rFonts w:hint="eastAsia"/>
                    </w:rPr>
                    <w:t>评价具体描述</w:t>
                  </w:r>
                </w:p>
              </w:tc>
              <w:tc>
                <w:tcPr>
                  <w:tcW w:w="3015" w:type="dxa"/>
                </w:tcPr>
                <w:p>
                  <w:pPr>
                    <w:shd w:val="clea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变更目的</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其潜在后果</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pPr>
                    <w:shd w:val="clear"/>
                  </w:pPr>
                  <w:r>
                    <w:rPr>
                      <w:rFonts w:hint="eastAsia"/>
                    </w:rPr>
                    <w:t>质量管理体系的完整性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资源的可获得性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职责和权限的分配或再分配</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shd w:val="clear"/>
              <w:rPr>
                <w:rFonts w:hint="default" w:eastAsia="宋体"/>
                <w:lang w:val="en-US" w:eastAsia="zh-CN"/>
              </w:rPr>
            </w:pPr>
            <w:r>
              <w:rPr>
                <w:rFonts w:hint="eastAsia"/>
                <w:lang w:val="en-US" w:eastAsia="zh-CN"/>
              </w:rPr>
              <w:t xml:space="preserve">     </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资源（总则）</w:t>
            </w:r>
          </w:p>
        </w:tc>
        <w:tc>
          <w:tcPr>
            <w:tcW w:w="1055" w:type="dxa"/>
            <w:vMerge w:val="restart"/>
            <w:shd w:val="clear" w:color="auto" w:fill="auto"/>
          </w:tcPr>
          <w:p>
            <w:pPr>
              <w:shd w:val="clear"/>
            </w:pPr>
            <w:r>
              <w:rPr>
                <w:rFonts w:hint="eastAsia"/>
              </w:rPr>
              <w:t>Q7.1</w:t>
            </w:r>
            <w:r>
              <w:rPr>
                <w:rFonts w:hint="eastAsia"/>
                <w:lang w:val="en-US" w:eastAsia="zh-CN"/>
              </w:rPr>
              <w:t>.1</w:t>
            </w:r>
          </w:p>
          <w:p>
            <w:pPr>
              <w:shd w:val="clear"/>
              <w:rPr>
                <w:rFonts w:hint="eastAsia"/>
                <w:lang w:val="en-US" w:eastAsia="zh-CN"/>
              </w:rPr>
            </w:pPr>
            <w:r>
              <w:rPr>
                <w:rFonts w:hint="eastAsia"/>
              </w:rPr>
              <w:t>F7.1</w:t>
            </w:r>
            <w:r>
              <w:rPr>
                <w:rFonts w:hint="eastAsia"/>
                <w:lang w:val="en-US" w:eastAsia="zh-CN"/>
              </w:rPr>
              <w:t>.1</w:t>
            </w:r>
          </w:p>
          <w:p>
            <w:pPr>
              <w:pStyle w:val="2"/>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lang w:eastAsia="zh-CN"/>
              </w:rPr>
              <w:t>《质量和食品安全管理手册》</w:t>
            </w:r>
            <w:r>
              <w:rPr>
                <w:rFonts w:hint="eastAsia"/>
              </w:rPr>
              <w:t>第7.1章</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p>
            <w:pPr>
              <w:shd w:val="clear"/>
            </w:pPr>
          </w:p>
          <w:p>
            <w:pPr>
              <w:shd w:val="clear"/>
            </w:pPr>
          </w:p>
          <w:p>
            <w:pPr>
              <w:shd w:val="clear"/>
            </w:pPr>
          </w:p>
          <w:p>
            <w:pPr>
              <w:shd w:val="clear"/>
            </w:pP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pPr>
            <w:r>
              <w:rPr>
                <w:rFonts w:hint="eastAsia"/>
              </w:rPr>
              <w:t xml:space="preserve">和最高管理层确定并提供所需的资源，以建立、实施、保持和持续改进质量管理体系。 </w:t>
            </w:r>
          </w:p>
          <w:p>
            <w:pPr>
              <w:numPr>
                <w:ilvl w:val="0"/>
                <w:numId w:val="3"/>
              </w:numPr>
              <w:shd w:val="clear"/>
            </w:pPr>
            <w:r>
              <w:rPr>
                <w:rFonts w:hint="eastAsia"/>
              </w:rPr>
              <w:t>现有内部资源的能力；</w:t>
            </w:r>
          </w:p>
          <w:p>
            <w:pPr>
              <w:pStyle w:val="12"/>
              <w:rPr>
                <w:rFonts w:hint="eastAsia"/>
              </w:rPr>
            </w:pPr>
            <w:r>
              <w:rPr>
                <w:rFonts w:hint="eastAsia"/>
              </w:rPr>
              <w:t>厂区面积：</w:t>
            </w:r>
            <w:r>
              <w:rPr>
                <w:rFonts w:hint="eastAsia"/>
                <w:u w:val="single"/>
              </w:rPr>
              <w:t xml:space="preserve"> 6050 </w:t>
            </w:r>
            <w:r>
              <w:rPr>
                <w:rFonts w:hint="eastAsia"/>
              </w:rPr>
              <w:t>㎡ ；建筑面积</w:t>
            </w:r>
            <w:r>
              <w:rPr>
                <w:rFonts w:hint="eastAsia"/>
                <w:u w:val="single"/>
              </w:rPr>
              <w:t xml:space="preserve"> 4100 </w:t>
            </w:r>
            <w:r>
              <w:rPr>
                <w:rFonts w:hint="eastAsia"/>
              </w:rPr>
              <w:t>㎡；生产加工间</w:t>
            </w:r>
            <w:r>
              <w:rPr>
                <w:rFonts w:hint="eastAsia"/>
                <w:u w:val="single"/>
              </w:rPr>
              <w:t>1个</w:t>
            </w:r>
            <w:r>
              <w:rPr>
                <w:rFonts w:hint="eastAsia"/>
              </w:rPr>
              <w:t>；</w:t>
            </w:r>
            <w:r>
              <w:rPr>
                <w:rFonts w:hint="eastAsia"/>
                <w:u w:val="single"/>
              </w:rPr>
              <w:t>冷冻库3个【含成品库1个】</w:t>
            </w:r>
            <w:r>
              <w:rPr>
                <w:rFonts w:hint="eastAsia"/>
              </w:rPr>
              <w:t>；检验室</w:t>
            </w:r>
            <w:r>
              <w:rPr>
                <w:rFonts w:hint="eastAsia"/>
                <w:u w:val="single"/>
              </w:rPr>
              <w:t xml:space="preserve"> 1 个</w:t>
            </w:r>
            <w:r>
              <w:rPr>
                <w:rFonts w:hint="eastAsia"/>
              </w:rPr>
              <w:t>；</w:t>
            </w:r>
          </w:p>
          <w:p>
            <w:pPr>
              <w:shd w:val="clear"/>
              <w:rPr>
                <w:rFonts w:hint="eastAsia"/>
                <w:lang w:val="en-US" w:eastAsia="zh-CN"/>
              </w:rPr>
            </w:pPr>
          </w:p>
          <w:p>
            <w:pPr>
              <w:shd w:val="clear"/>
            </w:pPr>
            <w:r>
              <w:rPr>
                <w:rFonts w:hint="eastAsia"/>
              </w:rPr>
              <w:t xml:space="preserve">主要生产设备有： </w:t>
            </w:r>
            <w:r>
              <w:rPr>
                <w:rFonts w:hint="eastAsia"/>
                <w:u w:val="single"/>
                <w:lang w:val="en-US" w:eastAsia="zh-CN"/>
              </w:rPr>
              <w:t>数字式金属探测仪、真空机、热缩机、打包机 等</w:t>
            </w:r>
            <w:r>
              <w:rPr>
                <w:rFonts w:hint="eastAsia"/>
                <w:u w:val="single"/>
              </w:rPr>
              <w:t xml:space="preserve">  （列举2~4种）</w:t>
            </w:r>
          </w:p>
          <w:p>
            <w:pPr>
              <w:widowControl/>
              <w:shd w:val="clear"/>
              <w:spacing w:before="40"/>
              <w:jc w:val="left"/>
            </w:pPr>
            <w:r>
              <w:rPr>
                <w:rFonts w:hint="eastAsia"/>
              </w:rPr>
              <w:t>动力设施和辅助设施的状况，存在下列的场所：</w:t>
            </w:r>
          </w:p>
          <w:p>
            <w:pPr>
              <w:widowControl/>
              <w:shd w:val="clear"/>
              <w:spacing w:before="40"/>
              <w:ind w:firstLine="210" w:firstLineChars="100"/>
              <w:jc w:val="left"/>
            </w:pPr>
            <w:r>
              <w:rPr/>
              <w:sym w:font="Wingdings" w:char="00A8"/>
            </w:r>
            <w:r>
              <w:rPr>
                <w:rFonts w:hint="eastAsia"/>
              </w:rPr>
              <w:t xml:space="preserve">污水处理站  </w:t>
            </w:r>
            <w:r>
              <w:rPr/>
              <w:sym w:font="Wingdings" w:char="00A8"/>
            </w:r>
            <w:r>
              <w:rPr>
                <w:rFonts w:hint="eastAsia"/>
              </w:rPr>
              <w:t xml:space="preserve">锅炉房  </w:t>
            </w:r>
            <w:r>
              <w:rPr/>
              <w:sym w:font="Wingdings" w:char="00A8"/>
            </w:r>
            <w:r>
              <w:rPr>
                <w:rFonts w:hint="eastAsia"/>
              </w:rPr>
              <w:t xml:space="preserve">高压配电室  □低压配电室 </w:t>
            </w:r>
            <w:r>
              <w:rPr/>
              <w:sym w:font="Wingdings" w:char="00A8"/>
            </w:r>
            <w:r>
              <w:rPr>
                <w:rFonts w:hint="eastAsia"/>
              </w:rPr>
              <w:t xml:space="preserve">空压站  </w:t>
            </w:r>
            <w:r>
              <w:rPr/>
              <w:sym w:font="Wingdings" w:char="00A8"/>
            </w:r>
            <w:r>
              <w:rPr>
                <w:rFonts w:hint="eastAsia"/>
              </w:rPr>
              <w:t xml:space="preserve">制冷站   </w:t>
            </w:r>
            <w:r>
              <w:rPr/>
              <w:sym w:font="Wingdings" w:char="00A8"/>
            </w:r>
            <w:r>
              <w:rPr>
                <w:rFonts w:hint="eastAsia"/>
              </w:rPr>
              <w:t>消防中控室</w:t>
            </w:r>
          </w:p>
          <w:p>
            <w:pPr>
              <w:widowControl/>
              <w:shd w:val="clear"/>
              <w:spacing w:before="40"/>
              <w:ind w:left="210" w:leftChars="100"/>
              <w:jc w:val="left"/>
            </w:pPr>
            <w:r>
              <w:rPr/>
              <w:sym w:font="Wingdings" w:char="00A8"/>
            </w:r>
            <w:r>
              <w:rPr>
                <w:rFonts w:hint="eastAsia"/>
              </w:rPr>
              <w:t xml:space="preserve">消防泵房   □除尘装置 </w:t>
            </w:r>
            <w:r>
              <w:rPr/>
              <w:sym w:font="Wingdings" w:char="00A8"/>
            </w:r>
            <w:r>
              <w:rPr>
                <w:rFonts w:hint="eastAsia"/>
              </w:rPr>
              <w:t xml:space="preserve">尾气处理  </w:t>
            </w:r>
            <w:r>
              <w:rPr/>
              <w:sym w:font="Wingdings" w:char="00A8"/>
            </w:r>
            <w:r>
              <w:rPr>
                <w:rFonts w:hint="eastAsia"/>
              </w:rPr>
              <w:t xml:space="preserve">危化品库房   </w:t>
            </w:r>
            <w:r>
              <w:rPr/>
              <w:sym w:font="Wingdings" w:char="00A8"/>
            </w:r>
            <w:r>
              <w:rPr>
                <w:rFonts w:hint="eastAsia"/>
              </w:rPr>
              <w:t xml:space="preserve">危险废弃物存放处   </w:t>
            </w:r>
            <w:r>
              <w:rPr/>
              <w:sym w:font="Wingdings" w:char="00A8"/>
            </w:r>
            <w:r>
              <w:rPr>
                <w:rFonts w:hint="eastAsia"/>
              </w:rPr>
              <w:t>改建/扩建施工现场</w:t>
            </w:r>
            <w:r>
              <w:rPr>
                <w:rFonts w:hint="eastAsia"/>
                <w:lang w:val="en-US" w:eastAsia="zh-CN"/>
              </w:rPr>
              <w:t xml:space="preserve"> </w:t>
            </w:r>
            <w:r>
              <w:rPr>
                <w:rFonts w:hint="eastAsia"/>
              </w:rPr>
              <w:sym w:font="Wingdings 2" w:char="0052"/>
            </w:r>
            <w:r>
              <w:rPr>
                <w:rFonts w:hint="eastAsia"/>
              </w:rPr>
              <w:t xml:space="preserve">食堂  </w:t>
            </w:r>
            <w:r>
              <w:rPr/>
              <w:sym w:font="Wingdings" w:char="00A8"/>
            </w:r>
            <w:r>
              <w:rPr>
                <w:rFonts w:hint="eastAsia"/>
              </w:rPr>
              <w:t xml:space="preserve">宿舍  </w:t>
            </w:r>
            <w:r>
              <w:rPr/>
              <w:sym w:font="Wingdings" w:char="00A8"/>
            </w:r>
            <w:r>
              <w:rPr>
                <w:rFonts w:hint="eastAsia"/>
              </w:rPr>
              <w:t xml:space="preserve">班车  </w:t>
            </w:r>
            <w:r>
              <w:rPr/>
              <w:sym w:font="Wingdings" w:char="00FE"/>
            </w:r>
            <w:r>
              <w:rPr>
                <w:rFonts w:hint="eastAsia"/>
              </w:rPr>
              <w:t xml:space="preserve">其他——不涉及 </w:t>
            </w:r>
          </w:p>
          <w:p>
            <w:pPr>
              <w:shd w:val="clear"/>
            </w:pPr>
          </w:p>
          <w:p>
            <w:pPr>
              <w:shd w:val="clear"/>
              <w:rPr>
                <w:rFonts w:hint="eastAsia"/>
              </w:rPr>
            </w:pPr>
            <w:r>
              <w:rPr>
                <w:rFonts w:hint="eastAsia"/>
              </w:rPr>
              <w:t>特种设备：</w:t>
            </w:r>
          </w:p>
          <w:p>
            <w:pPr>
              <w:shd w:val="clear"/>
              <w:ind w:firstLine="210" w:firstLineChars="100"/>
              <w:rPr>
                <w:rFonts w:hint="eastAsia"/>
              </w:rPr>
            </w:pP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lang w:val="en-US" w:eastAsia="zh-CN"/>
              </w:rPr>
              <w:t xml:space="preserve"> </w:t>
            </w:r>
            <w:r>
              <w:rPr>
                <w:rFonts w:hint="eastAsia"/>
              </w:rPr>
              <w:sym w:font="Wingdings" w:char="00A8"/>
            </w:r>
            <w:r>
              <w:rPr>
                <w:rFonts w:hint="eastAsia"/>
              </w:rPr>
              <w:t>电梯</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不适用</w:t>
            </w:r>
          </w:p>
          <w:p>
            <w:pPr>
              <w:shd w:val="clear"/>
              <w:ind w:firstLine="210" w:firstLineChars="100"/>
            </w:pPr>
          </w:p>
          <w:p>
            <w:pPr>
              <w:shd w:val="clear"/>
            </w:pPr>
            <w:r>
              <w:rPr>
                <w:rFonts w:hint="eastAsia"/>
              </w:rPr>
              <w:t>特种设备管理：</w:t>
            </w:r>
            <w:r>
              <w:rPr>
                <w:rFonts w:hint="eastAsia"/>
              </w:rPr>
              <w:sym w:font="Wingdings" w:char="00A8"/>
            </w:r>
            <w:r>
              <w:rPr>
                <w:rFonts w:hint="eastAsia"/>
              </w:rPr>
              <w:t xml:space="preserve">进行了定期检验 </w:t>
            </w:r>
            <w:r>
              <w:rPr>
                <w:rFonts w:hint="eastAsia"/>
                <w:lang w:val="en-US" w:eastAsia="zh-CN"/>
              </w:rPr>
              <w:t xml:space="preserve"> </w:t>
            </w:r>
            <w:r>
              <w:rPr>
                <w:rFonts w:hint="eastAsia"/>
              </w:rPr>
              <w:t xml:space="preserve"> </w:t>
            </w:r>
            <w:r>
              <w:rPr>
                <w:rFonts w:hint="eastAsia"/>
              </w:rPr>
              <w:sym w:font="Wingdings" w:char="00A8"/>
            </w:r>
            <w:r>
              <w:rPr>
                <w:rFonts w:hint="eastAsia"/>
              </w:rPr>
              <w:t>未进行定期检验的有：</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w:t>
            </w:r>
            <w:r>
              <w:rPr>
                <w:rFonts w:hint="eastAsia"/>
                <w:lang w:val="en-US" w:eastAsia="zh-CN"/>
              </w:rPr>
              <w:t xml:space="preserve">   </w:t>
            </w:r>
            <w:r>
              <w:rPr>
                <w:rFonts w:hint="eastAsia"/>
              </w:rPr>
              <w:t xml:space="preserve">   </w:t>
            </w:r>
          </w:p>
          <w:p>
            <w:pPr>
              <w:pStyle w:val="2"/>
              <w:shd w:val="clear"/>
              <w:rPr>
                <w:rFonts w:hint="default"/>
                <w:lang w:val="en-US" w:eastAsia="zh-CN"/>
              </w:rPr>
            </w:pPr>
          </w:p>
          <w:p>
            <w:pPr>
              <w:numPr>
                <w:ilvl w:val="0"/>
                <w:numId w:val="4"/>
              </w:numPr>
              <w:shd w:val="clear"/>
              <w:rPr>
                <w:u w:val="single"/>
              </w:rPr>
            </w:pPr>
            <w:r>
              <w:rPr>
                <w:rFonts w:hint="eastAsia"/>
              </w:rPr>
              <w:t>还存在哪些局限和不足</w:t>
            </w:r>
            <w:r>
              <w:rPr>
                <w:rFonts w:hint="eastAsia"/>
                <w:u w:val="single"/>
              </w:rPr>
              <w:t xml:space="preserve">：                         </w:t>
            </w:r>
          </w:p>
          <w:p>
            <w:pPr>
              <w:numPr>
                <w:ilvl w:val="0"/>
                <w:numId w:val="3"/>
              </w:numPr>
              <w:shd w:val="clear"/>
              <w:rPr>
                <w:u w:val="single"/>
              </w:rPr>
            </w:pPr>
            <w:r>
              <w:rPr>
                <w:rFonts w:hint="eastAsia"/>
              </w:rPr>
              <w:t>需要从外部供方获得的资源：</w:t>
            </w:r>
            <w:r>
              <w:rPr>
                <w:rFonts w:hint="eastAsia"/>
                <w:u w:val="single"/>
              </w:rPr>
              <w:t xml:space="preserve">  </w:t>
            </w:r>
            <w:r>
              <w:rPr>
                <w:rFonts w:hint="eastAsia"/>
                <w:u w:val="single"/>
                <w:lang w:val="en-US" w:eastAsia="zh-CN"/>
              </w:rPr>
              <w:t xml:space="preserve">             </w:t>
            </w:r>
            <w:r>
              <w:rPr>
                <w:u w:val="single"/>
              </w:rPr>
              <w:t xml:space="preserve"> </w:t>
            </w:r>
            <w:r>
              <w:rPr>
                <w:rFonts w:hint="eastAsia"/>
                <w:u w:val="single"/>
              </w:rPr>
              <w:t xml:space="preserve">     </w:t>
            </w:r>
          </w:p>
          <w:p>
            <w:pPr>
              <w:pStyle w:val="12"/>
              <w:rPr>
                <w:rFonts w:hint="default" w:eastAsia="宋体"/>
                <w:lang w:val="en-US" w:eastAsia="zh-CN"/>
              </w:rPr>
            </w:pPr>
            <w:r>
              <w:rPr>
                <w:rFonts w:hint="eastAsia"/>
                <w:highlight w:val="none"/>
                <w:lang w:val="en-US" w:eastAsia="zh-CN"/>
              </w:rPr>
              <w:t>一阶段问题验证见</w:t>
            </w:r>
            <w:r>
              <w:rPr>
                <w:rFonts w:hint="eastAsia"/>
                <w:highlight w:val="none"/>
                <w:u w:val="single"/>
                <w:lang w:val="en-US" w:eastAsia="zh-CN"/>
              </w:rPr>
              <w:t>生产部、食品安全小组审核记录</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18" w:type="dxa"/>
            <w:vMerge w:val="restart"/>
            <w:shd w:val="clear" w:color="auto" w:fill="auto"/>
          </w:tcPr>
          <w:p>
            <w:pPr>
              <w:shd w:val="clear"/>
            </w:pPr>
            <w:r>
              <w:rPr>
                <w:rFonts w:hint="eastAsia"/>
              </w:rPr>
              <w:t xml:space="preserve">沟通  </w:t>
            </w:r>
          </w:p>
        </w:tc>
        <w:tc>
          <w:tcPr>
            <w:tcW w:w="1055" w:type="dxa"/>
            <w:vMerge w:val="restart"/>
            <w:shd w:val="clear" w:color="auto" w:fill="auto"/>
          </w:tcPr>
          <w:p>
            <w:pPr>
              <w:shd w:val="clear"/>
            </w:pPr>
            <w:r>
              <w:rPr>
                <w:rFonts w:hint="eastAsia"/>
              </w:rPr>
              <w:t>Q7.4</w:t>
            </w:r>
          </w:p>
          <w:p>
            <w:pPr>
              <w:shd w:val="clear"/>
              <w:rPr>
                <w:rFonts w:hint="eastAsia"/>
              </w:rPr>
            </w:pPr>
            <w:r>
              <w:rPr>
                <w:rFonts w:hint="eastAsia"/>
              </w:rPr>
              <w:t>F7.4</w:t>
            </w:r>
          </w:p>
          <w:p>
            <w:pPr>
              <w:shd w:val="clear"/>
              <w:rPr>
                <w:rFonts w:hint="eastAsia"/>
                <w:lang w:val="en-US" w:eastAsia="zh-CN"/>
              </w:rPr>
            </w:pPr>
            <w:r>
              <w:rPr>
                <w:rFonts w:hint="eastAsia"/>
                <w:lang w:val="en-US" w:eastAsia="zh-CN"/>
              </w:rPr>
              <w:t>H(V1.0)</w:t>
            </w:r>
          </w:p>
          <w:p>
            <w:pPr>
              <w:pStyle w:val="2"/>
              <w:shd w:val="clear"/>
            </w:pPr>
            <w:r>
              <w:rPr>
                <w:rFonts w:hint="eastAsia"/>
                <w:lang w:val="en-US" w:eastAsia="zh-CN"/>
              </w:rPr>
              <w:t>2.5.2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color w:val="000000"/>
                <w:szCs w:val="21"/>
              </w:rPr>
              <w:t>☑</w:t>
            </w:r>
            <w:r>
              <w:rPr>
                <w:rFonts w:hint="eastAsia"/>
                <w:lang w:eastAsia="zh-CN"/>
              </w:rPr>
              <w:t>《质量和食品安全管理手册》</w:t>
            </w:r>
            <w:r>
              <w:rPr>
                <w:rFonts w:hint="eastAsia"/>
              </w:rPr>
              <w:t>第7.4章、</w:t>
            </w:r>
            <w:r>
              <w:rPr>
                <w:rFonts w:hint="eastAsia"/>
                <w:color w:val="000000"/>
                <w:szCs w:val="21"/>
              </w:rPr>
              <w:t>☑</w:t>
            </w:r>
            <w:r>
              <w:rPr>
                <w:rFonts w:hint="eastAsia"/>
              </w:rPr>
              <w:t>《沟通控制程序》</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组织考虑了合规义务，确保质量/食品安全信息与质量/食品安全管理体系形成的信息一致且真实可信。一般由</w:t>
            </w:r>
            <w:r>
              <w:rPr>
                <w:rFonts w:hint="eastAsia"/>
                <w:lang w:val="en-US" w:eastAsia="zh-CN"/>
              </w:rPr>
              <w:t>食品安全小组组长</w:t>
            </w:r>
            <w:r>
              <w:rPr>
                <w:rFonts w:hint="eastAsia"/>
              </w:rPr>
              <w:t>负责。</w:t>
            </w:r>
          </w:p>
          <w:p>
            <w:pPr>
              <w:shd w:val="clear"/>
            </w:pPr>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Pr>
              <w:shd w:val="clear"/>
            </w:pPr>
          </w:p>
          <w:p>
            <w:pPr>
              <w:shd w:val="clear"/>
            </w:pPr>
            <w:r>
              <w:rPr>
                <w:rFonts w:hint="eastAsia"/>
              </w:rPr>
              <w:t>内部沟通的控制方式：</w:t>
            </w:r>
            <w:r>
              <w:rPr>
                <w:rFonts w:hint="eastAsia"/>
                <w:color w:val="000000"/>
                <w:szCs w:val="21"/>
              </w:rPr>
              <w:t xml:space="preserve">☑会议 </w:t>
            </w:r>
            <w:r>
              <w:rPr>
                <w:rFonts w:hint="eastAsia"/>
                <w:color w:val="000000"/>
                <w:szCs w:val="21"/>
                <w:lang w:eastAsia="zh-CN"/>
              </w:rPr>
              <w:t>□</w:t>
            </w:r>
            <w:r>
              <w:rPr>
                <w:rFonts w:hint="eastAsia"/>
                <w:color w:val="000000"/>
                <w:szCs w:val="21"/>
              </w:rPr>
              <w:t xml:space="preserve">表单传递 ☑微信 ☑QQ </w:t>
            </w:r>
            <w:r>
              <w:rPr>
                <w:rFonts w:hint="eastAsia"/>
                <w:color w:val="000000"/>
                <w:szCs w:val="21"/>
                <w:lang w:eastAsia="zh-CN"/>
              </w:rPr>
              <w:sym w:font="Wingdings 2" w:char="0052"/>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518" w:type="dxa"/>
            <w:vMerge w:val="restart"/>
            <w:shd w:val="clear" w:color="auto" w:fill="auto"/>
          </w:tcPr>
          <w:p>
            <w:pPr>
              <w:shd w:val="clear"/>
            </w:pPr>
            <w:r>
              <w:rPr>
                <w:rFonts w:hint="eastAsia"/>
              </w:rPr>
              <w:t>运行的策划和控制</w:t>
            </w:r>
          </w:p>
        </w:tc>
        <w:tc>
          <w:tcPr>
            <w:tcW w:w="1055" w:type="dxa"/>
            <w:vMerge w:val="restart"/>
            <w:shd w:val="clear" w:color="auto" w:fill="auto"/>
          </w:tcPr>
          <w:p>
            <w:pPr>
              <w:shd w:val="clear"/>
            </w:pPr>
            <w:r>
              <w:rPr>
                <w:rFonts w:hint="eastAsia"/>
              </w:rPr>
              <w:t xml:space="preserve">Q8.1 </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366"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为满足产品和服务提供的要求，所确定的措施，组织通过以下措施对所需的过程进行策划、实施和控制：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eastAsia"/>
                      <w:lang w:val="en-US" w:eastAsia="zh-CN"/>
                    </w:rPr>
                    <w:t>牛羊分割和销售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按照GB 2707 GB/T17238 标准执行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pPr>
                  <w:r>
                    <w:rPr>
                      <w:rFonts w:hint="eastAsia"/>
                    </w:rPr>
                    <w:t>有流程图、管理制度</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pPr>
                  <w:r>
                    <w:rPr>
                      <w:rFonts w:hint="eastAsia"/>
                    </w:rPr>
                    <w:t>顾客满意度调查表</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pPr>
                  <w:r>
                    <w:rPr>
                      <w:rFonts w:hint="eastAsia"/>
                    </w:rPr>
                    <w:t>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shd w:val="clear"/>
                    <w:spacing w:before="40" w:after="40"/>
                    <w:jc w:val="left"/>
                    <w:rPr>
                      <w:rFonts w:hint="default" w:eastAsia="宋体"/>
                      <w:highlight w:val="yellow"/>
                      <w:lang w:val="en-US" w:eastAsia="zh-CN"/>
                    </w:rPr>
                  </w:pPr>
                  <w:r>
                    <w:rPr>
                      <w:rFonts w:hint="eastAsia"/>
                      <w:color w:val="000000"/>
                      <w:szCs w:val="18"/>
                      <w:u w:val="single"/>
                    </w:rPr>
                    <w:t>虫害消杀、计量设备检定、产品第三方检验为外包过程</w:t>
                  </w:r>
                </w:p>
              </w:tc>
              <w:tc>
                <w:tcPr>
                  <w:tcW w:w="1237" w:type="dxa"/>
                </w:tcPr>
                <w:p>
                  <w:pPr>
                    <w:shd w:val="clear"/>
                  </w:pPr>
                </w:p>
              </w:tc>
            </w:tr>
          </w:tbl>
          <w:p>
            <w:pPr>
              <w:shd w:val="clear"/>
            </w:pP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18" w:type="dxa"/>
            <w:vMerge w:val="restart"/>
            <w:shd w:val="clear" w:color="auto" w:fill="auto"/>
          </w:tcPr>
          <w:p>
            <w:pPr>
              <w:shd w:val="clear"/>
              <w:rPr>
                <w:highlight w:val="none"/>
              </w:rPr>
            </w:pPr>
            <w:r>
              <w:rPr>
                <w:rFonts w:hint="eastAsia"/>
                <w:highlight w:val="none"/>
              </w:rPr>
              <w:t>运行策划和控制</w:t>
            </w:r>
          </w:p>
        </w:tc>
        <w:tc>
          <w:tcPr>
            <w:tcW w:w="1055"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A8"/>
            </w:r>
            <w:r>
              <w:rPr>
                <w:rFonts w:hint="eastAsia"/>
                <w:highlight w:val="none"/>
              </w:rPr>
              <w:t>《人力资源</w:t>
            </w:r>
            <w:r>
              <w:rPr>
                <w:rFonts w:hint="eastAsia"/>
                <w:highlight w:val="none"/>
                <w:lang w:val="en-US" w:eastAsia="zh-CN"/>
              </w:rPr>
              <w:t>控制程序</w:t>
            </w:r>
            <w:r>
              <w:rPr>
                <w:rFonts w:hint="eastAsia"/>
                <w:highlight w:val="none"/>
              </w:rPr>
              <w:t>》</w:t>
            </w:r>
          </w:p>
        </w:tc>
        <w:tc>
          <w:tcPr>
            <w:tcW w:w="1366"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5"/>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/良好卫生规范</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5"/>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牛羊分割和销售</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spacing w:before="40" w:after="40"/>
              <w:jc w:val="left"/>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 xml:space="preserve"> </w:t>
            </w:r>
            <w:r>
              <w:rPr>
                <w:rFonts w:hint="eastAsia"/>
                <w:color w:val="000000"/>
                <w:szCs w:val="18"/>
                <w:u w:val="single"/>
              </w:rPr>
              <w:t>虫害消杀、计量设备检定、产品第三方检验为外包过程</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366"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监视、测量、分析和评价</w:t>
            </w:r>
          </w:p>
        </w:tc>
        <w:tc>
          <w:tcPr>
            <w:tcW w:w="1055" w:type="dxa"/>
            <w:vMerge w:val="restart"/>
            <w:shd w:val="clear" w:color="auto" w:fill="auto"/>
          </w:tcPr>
          <w:p>
            <w:pPr>
              <w:shd w:val="clear"/>
            </w:pPr>
            <w:r>
              <w:rPr>
                <w:rFonts w:hint="eastAsia"/>
              </w:rPr>
              <w:t>Q9.1.1 F9.1.1</w:t>
            </w:r>
          </w:p>
        </w:tc>
        <w:tc>
          <w:tcPr>
            <w:tcW w:w="893" w:type="dxa"/>
            <w:shd w:val="clear" w:color="auto" w:fill="auto"/>
          </w:tcPr>
          <w:p>
            <w:pPr>
              <w:shd w:val="clear"/>
            </w:pPr>
            <w:r>
              <w:rPr>
                <w:rFonts w:hint="eastAsia"/>
              </w:rPr>
              <w:t>文件名称</w:t>
            </w:r>
          </w:p>
        </w:tc>
        <w:tc>
          <w:tcPr>
            <w:tcW w:w="9373" w:type="dxa"/>
            <w:shd w:val="clear" w:color="auto" w:fill="auto"/>
          </w:tcPr>
          <w:p>
            <w:pPr>
              <w:shd w:val="clear"/>
              <w:rPr>
                <w:b/>
                <w:bCs/>
              </w:rPr>
            </w:pPr>
            <w:r>
              <w:rPr>
                <w:rFonts w:hint="eastAsia"/>
              </w:rPr>
              <w:t>如：</w:t>
            </w:r>
            <w:r>
              <w:rPr>
                <w:rFonts w:hint="eastAsia"/>
              </w:rPr>
              <w:sym w:font="Wingdings" w:char="00FE"/>
            </w:r>
            <w:r>
              <w:rPr>
                <w:rFonts w:hint="eastAsia"/>
                <w:lang w:eastAsia="zh-CN"/>
              </w:rPr>
              <w:t>《质量和食品安全管理手册》</w:t>
            </w:r>
            <w:r>
              <w:rPr>
                <w:rFonts w:hint="eastAsia"/>
              </w:rPr>
              <w:t>9.1.1条款</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7"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组织对监视和测量的质量食品安全绩效：</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651"/>
              <w:gridCol w:w="202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监视和测量的对象</w:t>
                  </w:r>
                </w:p>
              </w:tc>
              <w:tc>
                <w:tcPr>
                  <w:tcW w:w="2456" w:type="dxa"/>
                </w:tcPr>
                <w:p>
                  <w:pPr>
                    <w:shd w:val="clear"/>
                    <w:rPr>
                      <w:szCs w:val="21"/>
                    </w:rPr>
                  </w:pPr>
                  <w:r>
                    <w:rPr>
                      <w:rFonts w:hint="eastAsia"/>
                      <w:szCs w:val="21"/>
                    </w:rPr>
                    <w:t>监视、测量、分析和评价的方法</w:t>
                  </w:r>
                </w:p>
              </w:tc>
              <w:tc>
                <w:tcPr>
                  <w:tcW w:w="1651" w:type="dxa"/>
                </w:tcPr>
                <w:p>
                  <w:pPr>
                    <w:shd w:val="clear"/>
                    <w:rPr>
                      <w:szCs w:val="21"/>
                    </w:rPr>
                  </w:pPr>
                  <w:r>
                    <w:rPr>
                      <w:rFonts w:hint="eastAsia"/>
                      <w:szCs w:val="21"/>
                    </w:rPr>
                    <w:t>监视和测量的频次和时机</w:t>
                  </w:r>
                </w:p>
              </w:tc>
              <w:tc>
                <w:tcPr>
                  <w:tcW w:w="2025" w:type="dxa"/>
                </w:tcPr>
                <w:p>
                  <w:pPr>
                    <w:shd w:val="clear"/>
                    <w:rPr>
                      <w:szCs w:val="21"/>
                    </w:rPr>
                  </w:pPr>
                  <w:r>
                    <w:rPr>
                      <w:rFonts w:hint="eastAsia"/>
                      <w:szCs w:val="21"/>
                    </w:rPr>
                    <w:t>评价其质量/食品安全绩效所依据的准则和适当的参数</w:t>
                  </w:r>
                </w:p>
              </w:tc>
              <w:tc>
                <w:tcPr>
                  <w:tcW w:w="1738" w:type="dxa"/>
                </w:tcPr>
                <w:p>
                  <w:pPr>
                    <w:shd w:val="clea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水质和</w:t>
                  </w:r>
                  <w:r>
                    <w:rPr>
                      <w:rFonts w:hint="eastAsia"/>
                      <w:szCs w:val="21"/>
                      <w:lang w:val="en-US" w:eastAsia="zh-CN"/>
                    </w:rPr>
                    <w:t>产品</w:t>
                  </w:r>
                  <w:r>
                    <w:rPr>
                      <w:rFonts w:hint="eastAsia"/>
                      <w:szCs w:val="21"/>
                    </w:rPr>
                    <w:t>检测</w:t>
                  </w:r>
                </w:p>
              </w:tc>
              <w:tc>
                <w:tcPr>
                  <w:tcW w:w="2456" w:type="dxa"/>
                </w:tcPr>
                <w:p>
                  <w:pPr>
                    <w:shd w:val="clear"/>
                    <w:rPr>
                      <w:rFonts w:hint="default"/>
                      <w:szCs w:val="21"/>
                      <w:lang w:val="en-US" w:eastAsia="zh-CN"/>
                    </w:rPr>
                  </w:pPr>
                  <w:r>
                    <w:rPr>
                      <w:rFonts w:hint="eastAsia"/>
                      <w:szCs w:val="21"/>
                      <w:lang w:val="en-US" w:eastAsia="zh-CN"/>
                    </w:rPr>
                    <w:t>水质：每年委托进行检测</w:t>
                  </w:r>
                </w:p>
                <w:p>
                  <w:pPr>
                    <w:shd w:val="clear"/>
                    <w:rPr>
                      <w:rFonts w:hint="default"/>
                      <w:szCs w:val="21"/>
                      <w:lang w:val="en-US"/>
                    </w:rPr>
                  </w:pPr>
                  <w:r>
                    <w:rPr>
                      <w:rFonts w:hint="eastAsia"/>
                      <w:szCs w:val="21"/>
                      <w:lang w:val="en-US" w:eastAsia="zh-CN"/>
                    </w:rPr>
                    <w:t>产品：每半年送检1次</w:t>
                  </w:r>
                </w:p>
              </w:tc>
              <w:tc>
                <w:tcPr>
                  <w:tcW w:w="1651" w:type="dxa"/>
                </w:tcPr>
                <w:p>
                  <w:pPr>
                    <w:widowControl/>
                    <w:shd w:val="clear"/>
                    <w:spacing w:before="40"/>
                    <w:jc w:val="left"/>
                    <w:rPr>
                      <w:rFonts w:hint="default" w:eastAsia="宋体"/>
                      <w:color w:val="000000"/>
                      <w:szCs w:val="21"/>
                      <w:lang w:val="en-US" w:eastAsia="zh-CN"/>
                    </w:rPr>
                  </w:pPr>
                  <w:r>
                    <w:rPr>
                      <w:rFonts w:hint="eastAsia"/>
                      <w:color w:val="000000"/>
                      <w:szCs w:val="21"/>
                    </w:rPr>
                    <w:sym w:font="Wingdings 2" w:char="00A3"/>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52"/>
                  </w:r>
                  <w:r>
                    <w:rPr>
                      <w:rFonts w:hint="eastAsia"/>
                      <w:szCs w:val="21"/>
                    </w:rPr>
                    <w:t>其他</w:t>
                  </w:r>
                  <w:r>
                    <w:rPr>
                      <w:rFonts w:hint="eastAsia"/>
                      <w:szCs w:val="21"/>
                      <w:lang w:eastAsia="zh-CN"/>
                    </w:rPr>
                    <w:t>——</w:t>
                  </w:r>
                  <w:r>
                    <w:rPr>
                      <w:rFonts w:hint="eastAsia"/>
                      <w:szCs w:val="21"/>
                      <w:lang w:val="en-US" w:eastAsia="zh-CN"/>
                    </w:rPr>
                    <w:t>每半年</w:t>
                  </w:r>
                </w:p>
              </w:tc>
              <w:tc>
                <w:tcPr>
                  <w:tcW w:w="2025" w:type="dxa"/>
                </w:tcPr>
                <w:p>
                  <w:pPr>
                    <w:shd w:val="clear"/>
                    <w:rPr>
                      <w:rFonts w:hint="eastAsia"/>
                    </w:rPr>
                  </w:pPr>
                  <w:r>
                    <w:rPr>
                      <w:rFonts w:hint="eastAsia"/>
                      <w:lang w:val="en-US" w:eastAsia="zh-CN"/>
                    </w:rPr>
                    <w:t>产品的</w:t>
                  </w:r>
                  <w:r>
                    <w:rPr>
                      <w:rFonts w:hint="eastAsia"/>
                    </w:rPr>
                    <w:t>相关国家标准</w:t>
                  </w:r>
                </w:p>
                <w:p>
                  <w:pPr>
                    <w:pStyle w:val="2"/>
                    <w:shd w:val="clear"/>
                    <w:rPr>
                      <w:rFonts w:hint="default" w:eastAsia="宋体"/>
                      <w:lang w:val="en-US" w:eastAsia="zh-CN"/>
                    </w:rPr>
                  </w:pPr>
                  <w:r>
                    <w:rPr>
                      <w:rFonts w:hint="eastAsia"/>
                      <w:szCs w:val="21"/>
                      <w:lang w:val="en-US" w:eastAsia="zh-CN"/>
                    </w:rPr>
                    <w:t>GB5749-2006</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过程</w:t>
                  </w:r>
                </w:p>
              </w:tc>
              <w:tc>
                <w:tcPr>
                  <w:tcW w:w="2456" w:type="dxa"/>
                </w:tcPr>
                <w:p>
                  <w:pPr>
                    <w:shd w:val="clear"/>
                    <w:rPr>
                      <w:szCs w:val="21"/>
                    </w:rPr>
                  </w:pPr>
                  <w:r>
                    <w:rPr>
                      <w:rFonts w:hint="eastAsia"/>
                      <w:szCs w:val="21"/>
                    </w:rPr>
                    <w:t>现场巡视</w:t>
                  </w:r>
                </w:p>
                <w:p>
                  <w:pPr>
                    <w:shd w:val="clear"/>
                    <w:rPr>
                      <w:szCs w:val="21"/>
                    </w:rPr>
                  </w:pPr>
                  <w:r>
                    <w:rPr>
                      <w:rFonts w:hint="eastAsia"/>
                      <w:szCs w:val="21"/>
                    </w:rPr>
                    <w:t>抽查记录</w:t>
                  </w:r>
                </w:p>
                <w:p>
                  <w:pPr>
                    <w:shd w:val="clear"/>
                    <w:rPr>
                      <w:szCs w:val="21"/>
                    </w:rPr>
                  </w:pPr>
                  <w:r>
                    <w:rPr>
                      <w:rFonts w:hint="eastAsia"/>
                      <w:szCs w:val="21"/>
                    </w:rPr>
                    <w:t>对目标、供方业绩、过程业绩、满意度进行统计</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定期检查</w:t>
                  </w:r>
                </w:p>
                <w:p>
                  <w:pPr>
                    <w:shd w:val="clear"/>
                    <w:rPr>
                      <w:szCs w:val="21"/>
                    </w:rPr>
                  </w:pPr>
                  <w:r>
                    <w:rPr>
                      <w:rFonts w:ascii="Segoe UI Emoji" w:hAnsi="Segoe UI Emoji" w:cs="Segoe UI Emoji"/>
                      <w:color w:val="000000"/>
                      <w:sz w:val="15"/>
                      <w:szCs w:val="15"/>
                    </w:rPr>
                    <w:t>☑</w:t>
                  </w:r>
                  <w:r>
                    <w:rPr>
                      <w:rFonts w:hint="eastAsia"/>
                      <w:szCs w:val="21"/>
                    </w:rPr>
                    <w:t>抽查</w:t>
                  </w:r>
                </w:p>
                <w:p>
                  <w:pPr>
                    <w:shd w:val="clear"/>
                    <w:rPr>
                      <w:szCs w:val="21"/>
                    </w:rPr>
                  </w:pPr>
                  <w:r>
                    <w:rPr>
                      <w:rFonts w:ascii="Segoe UI Emoji" w:hAnsi="Segoe UI Emoji" w:cs="Segoe UI Emoji"/>
                      <w:color w:val="000000"/>
                      <w:sz w:val="15"/>
                      <w:szCs w:val="15"/>
                    </w:rPr>
                    <w:t>☑</w:t>
                  </w:r>
                  <w:r>
                    <w:rPr>
                      <w:rFonts w:hint="eastAsia"/>
                      <w:color w:val="000000"/>
                      <w:szCs w:val="21"/>
                    </w:rPr>
                    <w:t>每年</w:t>
                  </w:r>
                </w:p>
              </w:tc>
              <w:tc>
                <w:tcPr>
                  <w:tcW w:w="2025" w:type="dxa"/>
                </w:tcPr>
                <w:p>
                  <w:pPr>
                    <w:shd w:val="clear"/>
                    <w:rPr>
                      <w:rFonts w:hint="default" w:eastAsia="宋体"/>
                      <w:szCs w:val="21"/>
                      <w:lang w:val="en-US" w:eastAsia="zh-CN"/>
                    </w:rPr>
                  </w:pPr>
                  <w:r>
                    <w:rPr>
                      <w:rFonts w:hint="eastAsia"/>
                      <w:szCs w:val="21"/>
                      <w:lang w:val="en-US" w:eastAsia="zh-CN"/>
                    </w:rPr>
                    <w:t>前提方案、危害控制计划、作业指导书等</w:t>
                  </w:r>
                </w:p>
              </w:tc>
              <w:tc>
                <w:tcPr>
                  <w:tcW w:w="1738" w:type="dxa"/>
                </w:tcPr>
                <w:p>
                  <w:pPr>
                    <w:widowControl/>
                    <w:shd w:val="clear"/>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w:t>
                  </w:r>
                </w:p>
              </w:tc>
              <w:tc>
                <w:tcPr>
                  <w:tcW w:w="2456" w:type="dxa"/>
                </w:tcPr>
                <w:p>
                  <w:pPr>
                    <w:shd w:val="clear"/>
                    <w:rPr>
                      <w:szCs w:val="21"/>
                    </w:rPr>
                  </w:pPr>
                  <w:r>
                    <w:rPr>
                      <w:rFonts w:hint="eastAsia"/>
                      <w:szCs w:val="21"/>
                    </w:rPr>
                    <w:t>内部审核；对内审不符合项进行分析</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按年度内审计划</w:t>
                  </w:r>
                </w:p>
                <w:p>
                  <w:pPr>
                    <w:shd w:val="clear"/>
                    <w:rPr>
                      <w:szCs w:val="21"/>
                    </w:rPr>
                  </w:pPr>
                  <w:r>
                    <w:rPr>
                      <w:rFonts w:hint="eastAsia"/>
                      <w:color w:val="000000"/>
                      <w:szCs w:val="21"/>
                    </w:rPr>
                    <w:sym w:font="Wingdings 2" w:char="0052"/>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2025" w:type="dxa"/>
                </w:tcPr>
                <w:p>
                  <w:pPr>
                    <w:shd w:val="clear"/>
                  </w:pPr>
                  <w:r>
                    <w:rPr>
                      <w:rFonts w:hint="eastAsia"/>
                    </w:rPr>
                    <w:t>GB/T19001-2016</w:t>
                  </w:r>
                </w:p>
                <w:p>
                  <w:pPr>
                    <w:shd w:val="clear"/>
                    <w:rPr>
                      <w:rFonts w:hint="eastAsia"/>
                    </w:rPr>
                  </w:pPr>
                  <w:r>
                    <w:rPr>
                      <w:rFonts w:hint="eastAsia"/>
                    </w:rPr>
                    <w:t>ISO22000：2018</w:t>
                  </w:r>
                </w:p>
                <w:p>
                  <w:pPr>
                    <w:pStyle w:val="2"/>
                    <w:shd w:val="clear"/>
                    <w:rPr>
                      <w:rFonts w:hint="default" w:eastAsia="宋体"/>
                      <w:lang w:val="en-US" w:eastAsia="zh-CN"/>
                    </w:rPr>
                  </w:pP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体系有效性</w:t>
                  </w:r>
                </w:p>
              </w:tc>
              <w:tc>
                <w:tcPr>
                  <w:tcW w:w="2456" w:type="dxa"/>
                </w:tcPr>
                <w:p>
                  <w:pPr>
                    <w:shd w:val="clear"/>
                    <w:rPr>
                      <w:szCs w:val="21"/>
                    </w:rPr>
                  </w:pPr>
                  <w:r>
                    <w:rPr>
                      <w:rFonts w:hint="eastAsia"/>
                      <w:szCs w:val="21"/>
                    </w:rPr>
                    <w:t>管理评审，对QMS/FSMS存在的需要问题进行分析</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2025" w:type="dxa"/>
                </w:tcPr>
                <w:p>
                  <w:pPr>
                    <w:shd w:val="clear"/>
                    <w:rPr>
                      <w:szCs w:val="21"/>
                    </w:rPr>
                  </w:pPr>
                  <w:r>
                    <w:rPr>
                      <w:rFonts w:hint="eastAsia"/>
                      <w:szCs w:val="21"/>
                    </w:rPr>
                    <w:t>GB/T19001-2016</w:t>
                  </w:r>
                </w:p>
                <w:p>
                  <w:pPr>
                    <w:shd w:val="clear"/>
                    <w:rPr>
                      <w:szCs w:val="21"/>
                    </w:rPr>
                  </w:pPr>
                  <w:r>
                    <w:rPr>
                      <w:rFonts w:hint="eastAsia"/>
                      <w:szCs w:val="21"/>
                    </w:rPr>
                    <w:t>ISO22000：2018</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相关方反馈</w:t>
                  </w:r>
                </w:p>
              </w:tc>
              <w:tc>
                <w:tcPr>
                  <w:tcW w:w="2456" w:type="dxa"/>
                </w:tcPr>
                <w:p>
                  <w:pPr>
                    <w:shd w:val="clear"/>
                    <w:rPr>
                      <w:szCs w:val="21"/>
                    </w:rPr>
                  </w:pPr>
                  <w:r>
                    <w:rPr>
                      <w:rFonts w:hint="eastAsia"/>
                      <w:szCs w:val="21"/>
                    </w:rPr>
                    <w:t>反馈处理，对问题进行统计</w:t>
                  </w:r>
                </w:p>
              </w:tc>
              <w:tc>
                <w:tcPr>
                  <w:tcW w:w="1651" w:type="dxa"/>
                </w:tcPr>
                <w:p>
                  <w:pPr>
                    <w:shd w:val="clea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发生时进行处理</w:t>
                  </w:r>
                </w:p>
                <w:p>
                  <w:pPr>
                    <w:shd w:val="clear"/>
                    <w:rPr>
                      <w:szCs w:val="21"/>
                    </w:rPr>
                  </w:pPr>
                  <w:r>
                    <w:rPr>
                      <w:rFonts w:hint="eastAsia" w:ascii="Segoe UI Emoji" w:hAnsi="Segoe UI Emoji" w:cs="Segoe UI Emoji"/>
                      <w:color w:val="000000"/>
                      <w:sz w:val="15"/>
                      <w:szCs w:val="15"/>
                      <w:lang w:eastAsia="zh-CN"/>
                    </w:rPr>
                    <w:t>□</w:t>
                  </w:r>
                  <w:r>
                    <w:rPr>
                      <w:rFonts w:hint="eastAsia"/>
                      <w:szCs w:val="21"/>
                    </w:rPr>
                    <w:t>每年一次</w:t>
                  </w:r>
                </w:p>
              </w:tc>
              <w:tc>
                <w:tcPr>
                  <w:tcW w:w="2025" w:type="dxa"/>
                </w:tcPr>
                <w:p>
                  <w:pPr>
                    <w:shd w:val="clear"/>
                    <w:rPr>
                      <w:rFonts w:hint="default" w:eastAsia="宋体"/>
                      <w:szCs w:val="21"/>
                      <w:lang w:val="en-US" w:eastAsia="zh-CN"/>
                    </w:rPr>
                  </w:pPr>
                  <w:r>
                    <w:rPr>
                      <w:rFonts w:hint="eastAsia"/>
                      <w:szCs w:val="21"/>
                    </w:rPr>
                    <w:t>按企业</w:t>
                  </w:r>
                  <w:r>
                    <w:rPr>
                      <w:rFonts w:hint="eastAsia"/>
                      <w:szCs w:val="21"/>
                      <w:lang w:val="en-US" w:eastAsia="zh-CN"/>
                    </w:rPr>
                    <w:t>相关制度要求执行</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shd w:val="clear"/>
            </w:pP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518" w:type="dxa"/>
            <w:vMerge w:val="restart"/>
            <w:shd w:val="clear" w:color="auto" w:fill="auto"/>
          </w:tcPr>
          <w:p>
            <w:r>
              <w:rPr>
                <w:rFonts w:hint="eastAsia"/>
              </w:rPr>
              <w:t>内部审核</w:t>
            </w:r>
          </w:p>
        </w:tc>
        <w:tc>
          <w:tcPr>
            <w:tcW w:w="1055" w:type="dxa"/>
            <w:vMerge w:val="restart"/>
            <w:shd w:val="clear" w:color="auto" w:fill="auto"/>
          </w:tcPr>
          <w:p>
            <w:r>
              <w:rPr>
                <w:rFonts w:hint="eastAsia"/>
              </w:rPr>
              <w:t>Q9.2</w:t>
            </w:r>
          </w:p>
          <w:p>
            <w:r>
              <w:rPr>
                <w:rFonts w:hint="eastAsia"/>
              </w:rPr>
              <w:t>F9.2</w:t>
            </w:r>
          </w:p>
        </w:tc>
        <w:tc>
          <w:tcPr>
            <w:tcW w:w="893" w:type="dxa"/>
            <w:shd w:val="clear" w:color="auto" w:fill="auto"/>
          </w:tcPr>
          <w:p>
            <w:r>
              <w:rPr>
                <w:rFonts w:hint="eastAsia"/>
              </w:rPr>
              <w:t>文件名称</w:t>
            </w:r>
          </w:p>
        </w:tc>
        <w:tc>
          <w:tcPr>
            <w:tcW w:w="9373" w:type="dxa"/>
            <w:shd w:val="clear" w:color="auto" w:fill="auto"/>
          </w:tcPr>
          <w:p>
            <w:pPr>
              <w:rPr>
                <w:rFonts w:hint="default" w:eastAsia="宋体"/>
                <w:lang w:val="en-US" w:eastAsia="zh-CN"/>
              </w:rPr>
            </w:pPr>
            <w:r>
              <w:rPr>
                <w:rFonts w:hint="eastAsia"/>
              </w:rPr>
              <w:t>如：</w:t>
            </w:r>
            <w:r>
              <w:rPr/>
              <w:sym w:font="Wingdings" w:char="00FE"/>
            </w:r>
            <w:r>
              <w:rPr>
                <w:rFonts w:hint="eastAsia"/>
              </w:rPr>
              <w:t>《内审控制程序》</w:t>
            </w:r>
            <w:r>
              <w:rPr>
                <w:rFonts w:hint="eastAsia"/>
                <w:lang w:eastAsia="zh-CN"/>
              </w:rPr>
              <w:t>、</w:t>
            </w:r>
            <w:r>
              <w:rPr/>
              <w:sym w:font="Wingdings" w:char="00FE"/>
            </w:r>
            <w:r>
              <w:rPr>
                <w:rFonts w:hint="eastAsia"/>
                <w:lang w:eastAsia="zh-CN"/>
              </w:rPr>
              <w:t>《</w:t>
            </w:r>
            <w:r>
              <w:rPr>
                <w:rFonts w:hint="eastAsia"/>
                <w:lang w:val="en-US" w:eastAsia="zh-CN"/>
              </w:rPr>
              <w:t>质量和食品安全管理手册》9.2条款</w:t>
            </w:r>
          </w:p>
        </w:tc>
        <w:tc>
          <w:tcPr>
            <w:tcW w:w="1366"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8" w:hRule="atLeast"/>
        </w:trPr>
        <w:tc>
          <w:tcPr>
            <w:tcW w:w="1518" w:type="dxa"/>
            <w:vMerge w:val="continue"/>
            <w:shd w:val="clear" w:color="auto" w:fill="auto"/>
          </w:tcPr>
          <w:p/>
        </w:tc>
        <w:tc>
          <w:tcPr>
            <w:tcW w:w="1055" w:type="dxa"/>
            <w:vMerge w:val="continue"/>
            <w:shd w:val="clear" w:color="auto" w:fill="auto"/>
          </w:tcPr>
          <w:p/>
        </w:tc>
        <w:tc>
          <w:tcPr>
            <w:tcW w:w="893" w:type="dxa"/>
            <w:shd w:val="clear" w:color="auto" w:fill="auto"/>
          </w:tcPr>
          <w:p>
            <w:pPr>
              <w:widowControl/>
              <w:spacing w:before="40"/>
              <w:jc w:val="left"/>
              <w:rPr>
                <w:color w:val="000000"/>
                <w:szCs w:val="18"/>
              </w:rPr>
            </w:pPr>
          </w:p>
          <w:p>
            <w:r>
              <w:rPr>
                <w:rFonts w:hint="eastAsia"/>
              </w:rPr>
              <w:t>运行证据</w:t>
            </w:r>
          </w:p>
        </w:tc>
        <w:tc>
          <w:tcPr>
            <w:tcW w:w="9373" w:type="dxa"/>
            <w:shd w:val="clear" w:color="auto" w:fill="auto"/>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7-9</w:t>
            </w:r>
            <w:r>
              <w:rPr>
                <w:color w:val="000000"/>
                <w:szCs w:val="18"/>
                <w:u w:val="single"/>
              </w:rPr>
              <w:t xml:space="preserve"> </w:t>
            </w:r>
            <w:r>
              <w:rPr>
                <w:rFonts w:hint="eastAsia"/>
                <w:color w:val="000000"/>
                <w:szCs w:val="18"/>
              </w:rPr>
              <w:t>日实施了QMS/FSMS内部审核；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highlight w:val="yellow"/>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6</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《内审员证书》</w:t>
            </w:r>
            <w:r>
              <w:rPr>
                <w:highlight w:val="none"/>
              </w:rPr>
              <w:sym w:font="Wingdings" w:char="00FE"/>
            </w:r>
            <w:r>
              <w:rPr>
                <w:rFonts w:hint="eastAsia"/>
                <w:color w:val="000000"/>
                <w:szCs w:val="21"/>
                <w:highlight w:val="none"/>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sym w:font="Wingdings" w:char="00A8"/>
            </w:r>
            <w:r>
              <w:rPr>
                <w:rFonts w:hint="eastAsia"/>
                <w:color w:val="000000"/>
                <w:szCs w:val="18"/>
              </w:rPr>
              <w:t xml:space="preserve">与内审计划一致 </w:t>
            </w:r>
            <w:r>
              <w:rPr>
                <w:rFonts w:hint="eastAsia"/>
                <w:color w:val="000000"/>
                <w:szCs w:val="21"/>
              </w:rPr>
              <w:sym w:font="Wingdings 2" w:char="0052"/>
            </w:r>
            <w:r>
              <w:rPr>
                <w:rFonts w:hint="eastAsia"/>
                <w:color w:val="000000"/>
                <w:szCs w:val="21"/>
              </w:rPr>
              <w:t>与内审计划不一致缺少</w:t>
            </w:r>
            <w:r>
              <w:rPr>
                <w:rFonts w:hint="eastAsia"/>
                <w:color w:val="000000"/>
                <w:szCs w:val="21"/>
                <w:u w:val="single"/>
              </w:rPr>
              <w:t xml:space="preserve">   </w:t>
            </w:r>
            <w:r>
              <w:rPr>
                <w:rFonts w:hint="eastAsia"/>
                <w:color w:val="000000"/>
                <w:szCs w:val="21"/>
                <w:u w:val="single"/>
                <w:lang w:val="en-US" w:eastAsia="zh-CN"/>
              </w:rPr>
              <w:t>如办公室内审检查表未见Q7.1.6条款、销售部内审检查表未见Q8.5.5条款；食品安全小组内审检查表未见5.2/6.1/7.2/7.3/10.3，生产部内审检查表中未见Q8.1/8.7条款，F的8.4条款，已现场沟通</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w:t>
            </w:r>
            <w:r>
              <w:rPr>
                <w:rFonts w:hint="eastAsia"/>
                <w:color w:val="000000"/>
                <w:szCs w:val="18"/>
                <w:u w:val="single"/>
                <w:lang w:val="en-US" w:eastAsia="zh-CN"/>
              </w:rPr>
              <w:t>管理层、食品安全小组、生产部</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A8"/>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如办公室内审检查表未见Q7.1.6条款、销售部内审检查表未见Q8.5.5条款；食品安全小组内审检查表未见5.2/6.1/7.2/7.3/10.3，生产部内审检查表中未见Q8.1/8.7条款，F的8.4条款，已现场沟通</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rFonts w:hint="eastAsia" w:ascii="宋体" w:hAnsi="宋体"/>
                <w:color w:val="auto"/>
                <w:sz w:val="21"/>
                <w:szCs w:val="21"/>
                <w:u w:val="single"/>
                <w:lang w:val="en-US" w:eastAsia="zh-CN"/>
              </w:rPr>
            </w:pPr>
            <w:r>
              <w:rPr>
                <w:rFonts w:hint="eastAsia"/>
                <w:color w:val="000000"/>
                <w:szCs w:val="18"/>
              </w:rPr>
              <w:t>涉及的条款号或问题简述：</w:t>
            </w:r>
            <w:r>
              <w:rPr>
                <w:rFonts w:hint="eastAsia"/>
                <w:color w:val="000000"/>
                <w:szCs w:val="18"/>
                <w:u w:val="single"/>
                <w:lang w:val="en-US" w:eastAsia="zh-CN"/>
              </w:rPr>
              <w:t>提供《外来文件清单》中包含的外来文件更新不及时</w:t>
            </w:r>
            <w:r>
              <w:rPr>
                <w:rFonts w:hint="eastAsia"/>
                <w:color w:val="000000"/>
                <w:szCs w:val="18"/>
                <w:u w:val="single"/>
                <w:lang w:eastAsia="zh-CN"/>
              </w:rPr>
              <w:t>。</w:t>
            </w:r>
            <w:r>
              <w:rPr>
                <w:rFonts w:hint="eastAsia"/>
                <w:color w:val="000000"/>
                <w:szCs w:val="18"/>
                <w:u w:val="single"/>
                <w:lang w:val="en-US" w:eastAsia="zh-CN"/>
              </w:rPr>
              <w:t>不符合</w:t>
            </w:r>
            <w:r>
              <w:rPr>
                <w:rFonts w:hint="eastAsia" w:ascii="宋体" w:hAnsi="宋体"/>
                <w:color w:val="auto"/>
                <w:sz w:val="21"/>
                <w:szCs w:val="21"/>
                <w:u w:val="single"/>
                <w:lang w:eastAsia="zh-CN"/>
              </w:rPr>
              <w:t>GB/T19001-2016</w:t>
            </w:r>
            <w:r>
              <w:rPr>
                <w:rFonts w:hint="eastAsia" w:ascii="宋体" w:hAnsi="宋体"/>
                <w:color w:val="auto"/>
                <w:sz w:val="21"/>
                <w:szCs w:val="21"/>
                <w:u w:val="single"/>
              </w:rPr>
              <w:t>标准</w:t>
            </w:r>
            <w:r>
              <w:rPr>
                <w:rFonts w:hint="eastAsia" w:ascii="宋体" w:hAnsi="宋体"/>
                <w:color w:val="auto"/>
                <w:sz w:val="21"/>
                <w:szCs w:val="21"/>
                <w:u w:val="single"/>
                <w:lang w:val="en-US" w:eastAsia="zh-CN"/>
              </w:rPr>
              <w:t>7.5.3，不符合项判标不充分，已现场沟通；</w:t>
            </w:r>
          </w:p>
          <w:p>
            <w:pPr>
              <w:widowControl/>
              <w:spacing w:before="40"/>
              <w:jc w:val="left"/>
              <w:rPr>
                <w:rFonts w:asciiTheme="minorEastAsia" w:hAnsiTheme="minorEastAsia" w:eastAsiaTheme="minorEastAsia"/>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3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Q9.3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bookmarkStart w:id="2" w:name="_Hlk55987447"/>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bookmarkEnd w:id="2"/>
            <w:bookmarkStart w:id="3" w:name="_GoBack"/>
            <w:bookmarkEnd w:id="3"/>
          </w:p>
        </w:tc>
        <w:tc>
          <w:tcPr>
            <w:tcW w:w="1366" w:type="dxa"/>
            <w:vMerge w:val="restart"/>
            <w:shd w:val="clear" w:color="auto" w:fill="auto"/>
          </w:tcPr>
          <w:p>
            <w:pPr>
              <w:shd w:val="clear"/>
            </w:pPr>
            <w:r>
              <w:rPr/>
              <w:sym w:font="Wingdings" w:char="00FE"/>
            </w:r>
            <w:r>
              <w:rPr>
                <w:rFonts w:hint="eastAsia"/>
              </w:rPr>
              <w:t>符合</w:t>
            </w:r>
          </w:p>
          <w:p>
            <w:pPr>
              <w:shd w:val="clea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15</w:t>
            </w:r>
            <w:r>
              <w:rPr>
                <w:rFonts w:hint="eastAsia"/>
                <w:color w:val="000000"/>
                <w:szCs w:val="18"/>
              </w:rPr>
              <w:t>日实施了管理评审；</w:t>
            </w:r>
          </w:p>
          <w:p>
            <w:pPr>
              <w:widowControl/>
              <w:shd w:val="clear"/>
              <w:spacing w:before="40"/>
              <w:jc w:val="left"/>
              <w:rPr>
                <w:color w:val="auto"/>
                <w:szCs w:val="21"/>
                <w:highlight w:val="none"/>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 xml:space="preserve">管理评审记录（工作总结）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color w:val="000000"/>
                      <w:szCs w:val="21"/>
                    </w:rPr>
                    <w:t>管理评审输入信息</w:t>
                  </w:r>
                </w:p>
              </w:tc>
              <w:tc>
                <w:tcPr>
                  <w:tcW w:w="1990" w:type="dxa"/>
                </w:tcPr>
                <w:p>
                  <w:pPr>
                    <w:widowControl/>
                    <w:shd w:val="clear"/>
                    <w:spacing w:before="40"/>
                    <w:jc w:val="left"/>
                    <w:rPr>
                      <w:color w:val="000000"/>
                      <w:szCs w:val="21"/>
                    </w:rPr>
                  </w:pPr>
                  <w:r>
                    <w:rPr>
                      <w:rFonts w:hint="eastAsia"/>
                      <w:color w:val="000000"/>
                      <w:szCs w:val="21"/>
                    </w:rPr>
                    <w:t>评价</w:t>
                  </w:r>
                </w:p>
              </w:tc>
              <w:tc>
                <w:tcPr>
                  <w:tcW w:w="2816"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以往管理评审所采取措施的情况；</w:t>
                  </w:r>
                </w:p>
              </w:tc>
              <w:tc>
                <w:tcPr>
                  <w:tcW w:w="1990" w:type="dxa"/>
                </w:tcPr>
                <w:p>
                  <w:pPr>
                    <w:widowControl/>
                    <w:shd w:val="clear"/>
                    <w:spacing w:before="40"/>
                    <w:jc w:val="left"/>
                    <w:rPr>
                      <w:color w:val="000000"/>
                      <w:szCs w:val="21"/>
                    </w:rPr>
                  </w:pPr>
                  <w:r>
                    <w:rPr>
                      <w:rFonts w:hint="eastAsia"/>
                      <w:color w:val="000000"/>
                      <w:szCs w:val="21"/>
                    </w:rPr>
                    <w:sym w:font="Wingdings 2" w:char="00A3"/>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未发生，首次管评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与质量管理体系相关的内外部因素的变化；</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评审不是很充分，已现场沟通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顾客满意和有关相关方的反馈及趋势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highlight w:val="none"/>
                    </w:rPr>
                  </w:pPr>
                  <w:r>
                    <w:rPr>
                      <w:rFonts w:hint="eastAsia"/>
                      <w:highlight w:val="none"/>
                    </w:rPr>
                    <w:t>质量目标的实现程度及趋势</w:t>
                  </w:r>
                </w:p>
              </w:tc>
              <w:tc>
                <w:tcPr>
                  <w:tcW w:w="1990" w:type="dxa"/>
                </w:tcPr>
                <w:p>
                  <w:pPr>
                    <w:widowControl/>
                    <w:shd w:val="clear"/>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2816" w:type="dxa"/>
                </w:tcPr>
                <w:p>
                  <w:pPr>
                    <w:widowControl/>
                    <w:shd w:val="clear"/>
                    <w:spacing w:before="40"/>
                    <w:jc w:val="left"/>
                    <w:rPr>
                      <w:rFonts w:hint="default" w:eastAsia="宋体"/>
                      <w:color w:val="000000"/>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过程绩效以及产品和服务的合格情况及趋势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不合格及纠正措施及趋势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监视和测量结果及趋势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内审、外部审核结果及趋势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外部供方的绩效及趋势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资源的充分性；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不够很明确，已现场沟通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应对风险和机遇所采取措施的有效性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评审不是很充分，已现场沟通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改进的机会</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见输出</w:t>
                  </w:r>
                </w:p>
              </w:tc>
            </w:tr>
          </w:tbl>
          <w:p>
            <w:pPr>
              <w:pStyle w:val="12"/>
              <w:rPr>
                <w:color w:val="000000"/>
                <w:szCs w:val="21"/>
                <w:highlight w:val="cyan"/>
              </w:rPr>
            </w:pPr>
          </w:p>
          <w:p>
            <w:pPr>
              <w:pStyle w:val="12"/>
              <w:rPr>
                <w:color w:val="000000"/>
                <w:szCs w:val="21"/>
                <w:highlight w:val="cyan"/>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color w:val="000000"/>
                      <w:szCs w:val="18"/>
                    </w:rPr>
                    <w:t>管理评审输出信息</w:t>
                  </w:r>
                </w:p>
              </w:tc>
              <w:tc>
                <w:tcPr>
                  <w:tcW w:w="4620"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highlight w:val="none"/>
                    </w:rPr>
                  </w:pPr>
                  <w:r>
                    <w:rPr>
                      <w:rFonts w:hint="eastAsia"/>
                      <w:highlight w:val="none"/>
                    </w:rPr>
                    <w:t>改进的机会</w:t>
                  </w:r>
                </w:p>
              </w:tc>
              <w:tc>
                <w:tcPr>
                  <w:tcW w:w="4620" w:type="dxa"/>
                </w:tcPr>
                <w:p>
                  <w:pPr>
                    <w:widowControl/>
                    <w:shd w:val="clear"/>
                    <w:spacing w:before="40"/>
                    <w:jc w:val="left"/>
                    <w:rPr>
                      <w:rFonts w:hint="default" w:eastAsia="宋体"/>
                      <w:color w:val="000000"/>
                      <w:szCs w:val="21"/>
                      <w:highlight w:val="none"/>
                      <w:lang w:val="en-US" w:eastAsia="zh-CN"/>
                    </w:rPr>
                  </w:pPr>
                  <w:r>
                    <w:rPr>
                      <w:rFonts w:hint="eastAsia" w:cs="Times New Roman"/>
                      <w:color w:val="000000"/>
                      <w:kern w:val="2"/>
                      <w:sz w:val="21"/>
                      <w:szCs w:val="21"/>
                      <w:highlight w:val="none"/>
                      <w:lang w:val="en-US" w:eastAsia="zh-CN" w:bidi="ar-SA"/>
                    </w:rPr>
                    <w:t>办公室外聘食品安全咨询老师针对公司建立的管理体系运行和相关岗位的职责落实等内容进行培训，本年度计划2022年3-4月份进行，今后每年度持续进行一次</w:t>
                  </w:r>
                </w:p>
              </w:tc>
              <w:tc>
                <w:tcPr>
                  <w:tcW w:w="2496" w:type="dxa"/>
                </w:tcPr>
                <w:p>
                  <w:pPr>
                    <w:widowControl/>
                    <w:shd w:val="clear"/>
                    <w:spacing w:before="40"/>
                    <w:jc w:val="left"/>
                    <w:rPr>
                      <w:rFonts w:hint="default" w:eastAsia="宋体"/>
                      <w:color w:val="000000"/>
                      <w:szCs w:val="21"/>
                      <w:highlight w:val="none"/>
                      <w:lang w:val="en-US" w:eastAsia="zh-CN"/>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highlight w:val="none"/>
                    </w:rPr>
                  </w:pPr>
                  <w:r>
                    <w:rPr>
                      <w:rFonts w:hint="eastAsia"/>
                      <w:highlight w:val="none"/>
                    </w:rPr>
                    <w:t>质量管理体系所需的变更</w:t>
                  </w:r>
                </w:p>
              </w:tc>
              <w:tc>
                <w:tcPr>
                  <w:tcW w:w="4620" w:type="dxa"/>
                </w:tcPr>
                <w:p>
                  <w:pPr>
                    <w:widowControl/>
                    <w:shd w:val="clear"/>
                    <w:spacing w:before="40"/>
                    <w:jc w:val="left"/>
                    <w:rPr>
                      <w:color w:val="000000"/>
                      <w:szCs w:val="21"/>
                      <w:highlight w:val="none"/>
                    </w:rPr>
                  </w:pPr>
                  <w:r>
                    <w:rPr>
                      <w:rFonts w:hint="eastAsia"/>
                      <w:color w:val="000000"/>
                      <w:szCs w:val="21"/>
                      <w:highlight w:val="none"/>
                    </w:rPr>
                    <w:t>——</w:t>
                  </w:r>
                </w:p>
              </w:tc>
              <w:tc>
                <w:tcPr>
                  <w:tcW w:w="2496" w:type="dxa"/>
                </w:tcPr>
                <w:p>
                  <w:pPr>
                    <w:widowControl/>
                    <w:shd w:val="clear"/>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highlight w:val="none"/>
                    </w:rPr>
                  </w:pPr>
                  <w:r>
                    <w:rPr>
                      <w:rFonts w:hint="eastAsia"/>
                      <w:highlight w:val="none"/>
                    </w:rPr>
                    <w:t>资源需求</w:t>
                  </w:r>
                </w:p>
              </w:tc>
              <w:tc>
                <w:tcPr>
                  <w:tcW w:w="4620" w:type="dxa"/>
                </w:tcPr>
                <w:p>
                  <w:pPr>
                    <w:widowControl/>
                    <w:shd w:val="clear"/>
                    <w:spacing w:before="40"/>
                    <w:jc w:val="left"/>
                    <w:rPr>
                      <w:color w:val="000000"/>
                      <w:szCs w:val="21"/>
                      <w:highlight w:val="none"/>
                    </w:rPr>
                  </w:pPr>
                  <w:r>
                    <w:rPr>
                      <w:rFonts w:hint="eastAsia"/>
                      <w:color w:val="000000"/>
                      <w:szCs w:val="21"/>
                      <w:highlight w:val="none"/>
                    </w:rPr>
                    <w:t>——</w:t>
                  </w:r>
                </w:p>
              </w:tc>
              <w:tc>
                <w:tcPr>
                  <w:tcW w:w="2496" w:type="dxa"/>
                </w:tcPr>
                <w:p>
                  <w:pPr>
                    <w:widowControl/>
                    <w:shd w:val="clear"/>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shd w:val="clear"/>
              <w:rPr>
                <w:rFonts w:hint="default"/>
                <w:highlight w:val="cyan"/>
                <w:lang w:val="en-US"/>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u w:val="single"/>
                <w:lang w:val="en-US" w:eastAsia="zh-CN"/>
              </w:rPr>
              <w:t xml:space="preserve">    </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F9.3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ascii="宋体" w:hAnsi="宋体"/>
                <w:lang w:val="en-US" w:eastAsia="zh-CN"/>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12</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日实施了管理评审；</w:t>
            </w:r>
          </w:p>
          <w:p>
            <w:pPr>
              <w:widowControl/>
              <w:shd w:val="clear"/>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highlight w:val="none"/>
              </w:rPr>
              <w:t xml:space="preserve"> </w:t>
            </w:r>
            <w:r>
              <w:rPr>
                <w:rFonts w:hint="eastAsia"/>
                <w:color w:val="000000"/>
                <w:szCs w:val="21"/>
                <w:highlight w:val="none"/>
                <w:lang w:eastAsia="zh-CN"/>
              </w:rPr>
              <w:sym w:font="Wingdings 2" w:char="0052"/>
            </w:r>
            <w:r>
              <w:rPr>
                <w:rFonts w:hint="eastAsia"/>
                <w:color w:val="000000"/>
                <w:szCs w:val="21"/>
                <w:highlight w:val="none"/>
              </w:rPr>
              <w:t>管理评审报告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88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管理评审输入信息</w:t>
                  </w:r>
                </w:p>
              </w:tc>
              <w:tc>
                <w:tcPr>
                  <w:tcW w:w="1889" w:type="dxa"/>
                </w:tcPr>
                <w:p>
                  <w:pPr>
                    <w:widowControl/>
                    <w:shd w:val="clear"/>
                    <w:spacing w:before="40"/>
                    <w:jc w:val="left"/>
                    <w:rPr>
                      <w:color w:val="000000"/>
                      <w:szCs w:val="21"/>
                    </w:rPr>
                  </w:pPr>
                  <w:r>
                    <w:rPr>
                      <w:rFonts w:hint="eastAsia"/>
                      <w:color w:val="000000"/>
                      <w:szCs w:val="21"/>
                    </w:rPr>
                    <w:t>评价</w:t>
                  </w:r>
                </w:p>
              </w:tc>
              <w:tc>
                <w:tcPr>
                  <w:tcW w:w="2885"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A8"/>
                  </w:r>
                  <w:r>
                    <w:rPr>
                      <w:rFonts w:hint="eastAsia"/>
                    </w:rPr>
                    <w:t>以往管理评审所采取措施的情况；</w:t>
                  </w:r>
                </w:p>
              </w:tc>
              <w:tc>
                <w:tcPr>
                  <w:tcW w:w="1889" w:type="dxa"/>
                </w:tcPr>
                <w:p>
                  <w:pPr>
                    <w:widowControl/>
                    <w:shd w:val="clear"/>
                    <w:spacing w:before="40"/>
                    <w:jc w:val="left"/>
                    <w:rPr>
                      <w:color w:val="000000"/>
                      <w:szCs w:val="21"/>
                    </w:rPr>
                  </w:pPr>
                  <w:r>
                    <w:rPr>
                      <w:rFonts w:hint="eastAsia"/>
                      <w:color w:val="000000"/>
                      <w:szCs w:val="21"/>
                    </w:rPr>
                    <w:sym w:font="Wingdings 2" w:char="00A3"/>
                  </w:r>
                  <w:r>
                    <w:rPr>
                      <w:rFonts w:hint="eastAsia"/>
                      <w:color w:val="000000"/>
                      <w:szCs w:val="21"/>
                    </w:rPr>
                    <w:t>符合 □不符合</w:t>
                  </w: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89" w:type="dxa"/>
                </w:tcPr>
                <w:p>
                  <w:pPr>
                    <w:widowControl/>
                    <w:shd w:val="clear"/>
                    <w:spacing w:before="40"/>
                    <w:jc w:val="left"/>
                    <w:rPr>
                      <w:color w:val="000000"/>
                      <w:szCs w:val="21"/>
                    </w:rPr>
                  </w:pPr>
                  <w:r>
                    <w:rPr>
                      <w:rFonts w:hint="eastAsia"/>
                      <w:color w:val="000000"/>
                      <w:szCs w:val="21"/>
                      <w:lang w:eastAsia="zh-CN"/>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85"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评审不是很充分，已现场沟通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发生的紧急情况、事故或撤回；</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rFonts w:hint="eastAsia"/>
                    </w:rPr>
                    <w:t>监视和测量结果及趋势</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与PRP、OPRP计划和HACCP计划有关的验证活动结果的分析</w:t>
                  </w:r>
                </w:p>
              </w:tc>
              <w:tc>
                <w:tcPr>
                  <w:tcW w:w="1889" w:type="dxa"/>
                </w:tcPr>
                <w:p>
                  <w:pPr>
                    <w:widowControl/>
                    <w:shd w:val="clear"/>
                    <w:spacing w:before="40"/>
                    <w:jc w:val="left"/>
                    <w:rPr>
                      <w:color w:val="000000"/>
                      <w:szCs w:val="21"/>
                    </w:rPr>
                  </w:pPr>
                  <w:r>
                    <w:rPr>
                      <w:rFonts w:hint="eastAsia"/>
                      <w:color w:val="000000"/>
                      <w:szCs w:val="21"/>
                      <w:lang w:eastAsia="zh-CN"/>
                    </w:rPr>
                    <w:sym w:font="Wingdings 2" w:char="0052"/>
                  </w:r>
                  <w:r>
                    <w:rPr>
                      <w:rFonts w:hint="eastAsia"/>
                      <w:color w:val="000000"/>
                      <w:szCs w:val="21"/>
                    </w:rPr>
                    <w:t>符合 □不符合</w:t>
                  </w:r>
                </w:p>
              </w:tc>
              <w:tc>
                <w:tcPr>
                  <w:tcW w:w="2885"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实现食品安全管理体系目标的程度</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外部供方绩效</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rFonts w:hint="eastAsia"/>
                    </w:rPr>
                    <w:t>资源的充分性</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不够很明确，已现场沟通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为应对风险和机遇所采取措施的有效性</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评审不是很充分，已现场沟通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p>
              </w:tc>
              <w:tc>
                <w:tcPr>
                  <w:tcW w:w="1889" w:type="dxa"/>
                </w:tcPr>
                <w:p>
                  <w:pPr>
                    <w:widowControl/>
                    <w:shd w:val="clear"/>
                    <w:spacing w:before="40"/>
                    <w:jc w:val="left"/>
                    <w:rPr>
                      <w:color w:val="000000"/>
                      <w:szCs w:val="21"/>
                    </w:rPr>
                  </w:pP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bl>
          <w:p>
            <w:pPr>
              <w:widowControl/>
              <w:shd w:val="clear"/>
              <w:spacing w:before="40"/>
              <w:jc w:val="left"/>
              <w:rPr>
                <w:color w:val="000000"/>
                <w:szCs w:val="21"/>
              </w:rPr>
            </w:pPr>
          </w:p>
          <w:p>
            <w:pPr>
              <w:pStyle w:val="12"/>
            </w:pPr>
          </w:p>
          <w:p>
            <w:pPr>
              <w:widowControl/>
              <w:shd w:val="clear"/>
              <w:spacing w:before="40"/>
              <w:jc w:val="left"/>
              <w:rPr>
                <w:rFonts w:hint="default" w:eastAsia="宋体"/>
                <w:color w:val="000000"/>
                <w:szCs w:val="21"/>
                <w:highlight w:val="cyan"/>
                <w:u w:val="single"/>
                <w:lang w:val="en-US" w:eastAsia="zh-CN"/>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r>
              <w:rPr>
                <w:rFonts w:hint="eastAsia"/>
                <w:u w:val="single"/>
                <w:lang w:val="en-US" w:eastAsia="zh-CN"/>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07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18"/>
                    </w:rPr>
                    <w:t>管理评审输出信息（决策）</w:t>
                  </w:r>
                </w:p>
              </w:tc>
              <w:tc>
                <w:tcPr>
                  <w:tcW w:w="3076"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highlight w:val="none"/>
                    </w:rPr>
                  </w:pPr>
                  <w:r>
                    <w:rPr>
                      <w:rFonts w:hint="eastAsia"/>
                      <w:highlight w:val="none"/>
                    </w:rPr>
                    <w:t>与持续改进机会相关的决策</w:t>
                  </w:r>
                </w:p>
              </w:tc>
              <w:tc>
                <w:tcPr>
                  <w:tcW w:w="3076" w:type="dxa"/>
                  <w:vAlign w:val="top"/>
                </w:tcPr>
                <w:p>
                  <w:pPr>
                    <w:widowControl/>
                    <w:shd w:val="clear"/>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办公室外聘食品安全咨询老师针对公司建立的管理体系运行和相关岗位的职责落实等内容进行培训，本年度计划2022年3-4月份进行，今后每年度持续进行一次</w:t>
                  </w:r>
                </w:p>
              </w:tc>
              <w:tc>
                <w:tcPr>
                  <w:tcW w:w="2496" w:type="dxa"/>
                  <w:vAlign w:val="top"/>
                </w:tcPr>
                <w:p>
                  <w:pPr>
                    <w:widowControl/>
                    <w:shd w:val="clear"/>
                    <w:spacing w:before="40"/>
                    <w:jc w:val="left"/>
                    <w:rPr>
                      <w:rFonts w:ascii="Times New Roman" w:hAnsi="Times New Roman" w:eastAsia="宋体" w:cs="Times New Roman"/>
                      <w:color w:val="000000"/>
                      <w:kern w:val="2"/>
                      <w:sz w:val="21"/>
                      <w:szCs w:val="21"/>
                      <w:highlight w:val="yellow"/>
                      <w:lang w:val="en-US" w:eastAsia="zh-CN" w:bidi="ar-SA"/>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rPr>
                    <w:t>食品安全管理体系所需的变更</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rPr>
                    <w:t>资源需求</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21"/>
                    </w:rPr>
                    <w:t>食品安全目标未实现所采取的措施。（需要时）</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471" w:type="dxa"/>
                </w:tcPr>
                <w:p>
                  <w:pPr>
                    <w:widowControl/>
                    <w:shd w:val="clear"/>
                    <w:spacing w:before="40"/>
                    <w:jc w:val="left"/>
                    <w:rPr>
                      <w:color w:val="000000"/>
                      <w:szCs w:val="21"/>
                    </w:rPr>
                  </w:pPr>
                  <w:r>
                    <w:rPr>
                      <w:rFonts w:hint="eastAsia"/>
                      <w:color w:val="000000"/>
                      <w:szCs w:val="21"/>
                    </w:rPr>
                    <w:t>改进食品安全管理体系与其他业务过程融合的机会。（需要时）</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21"/>
                    </w:rPr>
                    <w:t>任何与组织战略方向相关的结论</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highlight w:val="cyan"/>
              </w:rPr>
            </w:pPr>
          </w:p>
          <w:p>
            <w:pPr>
              <w:shd w:val="clear"/>
              <w:rPr>
                <w:u w:val="single"/>
              </w:rPr>
            </w:pPr>
            <w:r>
              <w:rPr>
                <w:rFonts w:hint="eastAsia"/>
              </w:rPr>
              <w:sym w:font="Wingdings" w:char="00A8"/>
            </w:r>
            <w:r>
              <w:rPr>
                <w:rFonts w:hint="eastAsia"/>
              </w:rPr>
              <w:t>改进措施未落实的原因：</w:t>
            </w:r>
            <w:r>
              <w:rPr>
                <w:rFonts w:hint="eastAsia"/>
                <w:u w:val="single"/>
              </w:rPr>
              <w:t xml:space="preserve">  </w:t>
            </w:r>
            <w:r>
              <w:rPr>
                <w:rFonts w:hint="eastAsia"/>
                <w:highlight w:val="none"/>
                <w:u w:val="single"/>
              </w:rPr>
              <w:t xml:space="preserve"> </w:t>
            </w:r>
            <w:r>
              <w:rPr>
                <w:rFonts w:hint="eastAsia"/>
                <w:u w:val="single"/>
              </w:rPr>
              <w:t xml:space="preserve"> </w:t>
            </w:r>
            <w:r>
              <w:rPr>
                <w:rFonts w:hint="eastAsia"/>
                <w:u w:val="single"/>
                <w:lang w:val="en-US" w:eastAsia="zh-CN"/>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pP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改进</w:t>
            </w:r>
          </w:p>
        </w:tc>
        <w:tc>
          <w:tcPr>
            <w:tcW w:w="1055" w:type="dxa"/>
            <w:vMerge w:val="restart"/>
            <w:shd w:val="clear" w:color="auto" w:fill="auto"/>
          </w:tcPr>
          <w:p>
            <w:pPr>
              <w:shd w:val="clear"/>
            </w:pPr>
            <w:r>
              <w:rPr>
                <w:rFonts w:hint="eastAsia"/>
              </w:rPr>
              <w:t>Q10.1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FE"/>
            </w:r>
            <w:r>
              <w:rPr>
                <w:rFonts w:hint="eastAsia"/>
                <w:lang w:eastAsia="zh-CN"/>
              </w:rPr>
              <w:t>《质量和食品安全管理手册》</w:t>
            </w:r>
            <w:r>
              <w:rPr>
                <w:rFonts w:hint="eastAsia"/>
              </w:rPr>
              <w:t>10.1章</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 xml:space="preserve">组织确定和选择了改进机会，并采取必要措施，以满足顾客要求和增强顾客满意。 </w:t>
            </w:r>
          </w:p>
          <w:p>
            <w:pPr>
              <w:shd w:val="clear"/>
            </w:pPr>
            <w:r>
              <w:rPr>
                <w:rFonts w:hint="eastAsia"/>
              </w:rPr>
              <w:t>这包括：</w:t>
            </w:r>
          </w:p>
          <w:p>
            <w:pPr>
              <w:shd w:val="clear"/>
            </w:pPr>
            <w:r>
              <w:rPr>
                <w:rFonts w:hint="eastAsia"/>
              </w:rPr>
              <w:sym w:font="Wingdings" w:char="00FE"/>
            </w:r>
            <w:r>
              <w:rPr>
                <w:rFonts w:hint="eastAsia"/>
              </w:rPr>
              <w:t xml:space="preserve">改进产品和服务，以满足要求并应对未来的需求和期望； </w:t>
            </w:r>
          </w:p>
          <w:p>
            <w:pPr>
              <w:shd w:val="clear"/>
            </w:pPr>
            <w:r>
              <w:rPr>
                <w:rFonts w:hint="eastAsia"/>
              </w:rPr>
              <w:sym w:font="Wingdings" w:char="00FE"/>
            </w:r>
            <w:r>
              <w:rPr>
                <w:rFonts w:hint="eastAsia"/>
              </w:rPr>
              <w:t xml:space="preserve">纠正、预防或减少不利影响； </w:t>
            </w:r>
          </w:p>
          <w:p>
            <w:pPr>
              <w:shd w:val="clear"/>
            </w:pPr>
            <w:r>
              <w:rPr>
                <w:rFonts w:hint="eastAsia"/>
              </w:rPr>
              <w:sym w:font="Wingdings" w:char="00FE"/>
            </w:r>
            <w:r>
              <w:rPr>
                <w:rFonts w:hint="eastAsia"/>
              </w:rPr>
              <w:t>改进质量管理体系的绩效和有效性。</w:t>
            </w:r>
          </w:p>
          <w:p>
            <w:pPr>
              <w:shd w:val="clear"/>
            </w:pPr>
          </w:p>
          <w:p>
            <w:pPr>
              <w:shd w:val="clear"/>
            </w:pPr>
            <w:r>
              <w:rPr>
                <w:rFonts w:hint="eastAsia"/>
              </w:rPr>
              <w:t>改进包括：</w:t>
            </w:r>
            <w:r>
              <w:rPr>
                <w:rFonts w:hint="eastAsia"/>
                <w:u w:val="none"/>
              </w:rPr>
              <w:sym w:font="Wingdings" w:char="00FE"/>
            </w:r>
            <w:r>
              <w:rPr>
                <w:rFonts w:hint="eastAsia"/>
                <w:u w:val="none"/>
              </w:rPr>
              <w:t>纠正、</w:t>
            </w:r>
            <w:r>
              <w:rPr>
                <w:rFonts w:hint="eastAsia"/>
                <w:u w:val="none"/>
              </w:rPr>
              <w:sym w:font="Wingdings" w:char="00FE"/>
            </w:r>
            <w:r>
              <w:rPr>
                <w:rFonts w:hint="eastAsia"/>
                <w:u w:val="none"/>
              </w:rPr>
              <w:t>纠正措施、</w:t>
            </w:r>
            <w:r>
              <w:rPr>
                <w:rFonts w:hint="eastAsia"/>
                <w:u w:val="none"/>
              </w:rPr>
              <w:sym w:font="Wingdings" w:char="00A8"/>
            </w:r>
            <w:r>
              <w:rPr>
                <w:rFonts w:hint="eastAsia"/>
                <w:u w:val="none"/>
              </w:rPr>
              <w:t>持续改进、</w:t>
            </w:r>
            <w:r>
              <w:rPr>
                <w:rFonts w:hint="eastAsia"/>
                <w:u w:val="none"/>
              </w:rPr>
              <w:sym w:font="Wingdings" w:char="00A8"/>
            </w:r>
            <w:r>
              <w:rPr>
                <w:rFonts w:hint="eastAsia"/>
                <w:u w:val="none"/>
              </w:rPr>
              <w:t>突破性变革、</w:t>
            </w:r>
            <w:r>
              <w:rPr>
                <w:rFonts w:hint="eastAsia"/>
                <w:u w:val="none"/>
              </w:rPr>
              <w:sym w:font="Wingdings" w:char="00A8"/>
            </w:r>
            <w:r>
              <w:rPr>
                <w:rFonts w:hint="eastAsia"/>
                <w:u w:val="none"/>
              </w:rPr>
              <w:t>创新和重组。</w:t>
            </w: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不符合</w:t>
            </w:r>
            <w:r>
              <w:t>和</w:t>
            </w:r>
            <w:r>
              <w:rPr>
                <w:rFonts w:hint="eastAsia"/>
              </w:rPr>
              <w:t>纠</w:t>
            </w:r>
            <w:r>
              <w:t>正措施</w:t>
            </w:r>
          </w:p>
        </w:tc>
        <w:tc>
          <w:tcPr>
            <w:tcW w:w="1055" w:type="dxa"/>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w:t>
            </w:r>
            <w:r>
              <w:t>0</w:t>
            </w:r>
            <w:r>
              <w:rPr>
                <w:rFonts w:hint="eastAsia"/>
              </w:rPr>
              <w:t>.1</w:t>
            </w:r>
          </w:p>
          <w:p>
            <w:pPr>
              <w:pStyle w:val="7"/>
              <w:shd w:val="clear"/>
              <w:rPr>
                <w:rFonts w:hint="eastAsia"/>
              </w:rPr>
            </w:pPr>
          </w:p>
          <w:p>
            <w:pPr>
              <w:pStyle w:val="7"/>
              <w:shd w:val="clear"/>
            </w:pPr>
          </w:p>
        </w:tc>
        <w:tc>
          <w:tcPr>
            <w:tcW w:w="893" w:type="dxa"/>
            <w:shd w:val="clear" w:color="auto" w:fill="auto"/>
          </w:tcPr>
          <w:p>
            <w:pPr>
              <w:shd w:val="clear"/>
            </w:pPr>
            <w:r>
              <w:rPr>
                <w:rFonts w:hint="eastAsia"/>
              </w:rPr>
              <w:t>文</w:t>
            </w:r>
            <w:r>
              <w:t>件名称</w:t>
            </w:r>
          </w:p>
        </w:tc>
        <w:tc>
          <w:tcPr>
            <w:tcW w:w="9373" w:type="dxa"/>
            <w:shd w:val="clear" w:color="auto" w:fill="auto"/>
          </w:tcPr>
          <w:p>
            <w:pPr>
              <w:shd w:val="clear"/>
            </w:pPr>
            <w:r>
              <w:rPr>
                <w:color w:val="000000"/>
              </w:rPr>
              <w:sym w:font="Wingdings" w:char="00FE"/>
            </w:r>
            <w:r>
              <w:rPr>
                <w:rFonts w:hint="eastAsia"/>
                <w:lang w:eastAsia="zh-CN"/>
              </w:rPr>
              <w:t>《质量和食品安全管理手册》</w:t>
            </w:r>
            <w:r>
              <w:rPr>
                <w:rFonts w:hint="eastAsia"/>
              </w:rPr>
              <w:t>第10.1章、</w:t>
            </w:r>
            <w:r>
              <w:rPr>
                <w:color w:val="000000"/>
              </w:rPr>
              <w:sym w:font="Wingdings" w:char="00FE"/>
            </w:r>
            <w:r>
              <w:rPr>
                <w:rFonts w:hint="eastAsia"/>
              </w:rPr>
              <w:t>《</w:t>
            </w:r>
            <w:r>
              <w:rPr>
                <w:rFonts w:hint="eastAsia"/>
                <w:lang w:val="en-US" w:eastAsia="zh-CN"/>
              </w:rPr>
              <w:t>不合格品控制程序</w:t>
            </w:r>
            <w:r>
              <w:rPr>
                <w:rFonts w:hint="eastAsia"/>
              </w:rPr>
              <w:t>》、</w:t>
            </w:r>
            <w:r>
              <w:rPr>
                <w:color w:val="000000"/>
              </w:rPr>
              <w:sym w:font="Wingdings" w:char="00FE"/>
            </w:r>
            <w:r>
              <w:rPr>
                <w:rFonts w:hint="eastAsia"/>
                <w:color w:val="000000"/>
              </w:rPr>
              <w:t>《纠正措施控制程序》</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Pr>
              <w:shd w:val="clear"/>
            </w:pP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审核周期未发生</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8"/>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ascii="宋体" w:hAnsi="宋体"/>
                      <w:szCs w:val="21"/>
                    </w:rPr>
                  </w:pPr>
                </w:p>
              </w:tc>
              <w:tc>
                <w:tcPr>
                  <w:tcW w:w="1062"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366"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持续改进</w:t>
            </w:r>
          </w:p>
        </w:tc>
        <w:tc>
          <w:tcPr>
            <w:tcW w:w="1055" w:type="dxa"/>
            <w:vMerge w:val="restart"/>
            <w:shd w:val="clear" w:color="auto" w:fill="auto"/>
          </w:tcPr>
          <w:p>
            <w:pPr>
              <w:shd w:val="clear"/>
            </w:pPr>
            <w:r>
              <w:rPr>
                <w:rFonts w:hint="eastAsia"/>
              </w:rPr>
              <w:t>Q10.3</w:t>
            </w:r>
          </w:p>
          <w:p>
            <w:pPr>
              <w:shd w:val="clear"/>
              <w:rPr>
                <w:rFonts w:hint="eastAsia"/>
              </w:rPr>
            </w:pPr>
            <w:r>
              <w:rPr>
                <w:rFonts w:hint="eastAsia"/>
              </w:rPr>
              <w:t>F10.2</w:t>
            </w:r>
          </w:p>
          <w:p>
            <w:pPr>
              <w:pStyle w:val="2"/>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w:t>
            </w:r>
            <w:r>
              <w:rPr>
                <w:rFonts w:hint="eastAsia"/>
              </w:rPr>
              <w:sym w:font="Wingdings" w:char="00FE"/>
            </w:r>
            <w:r>
              <w:rPr>
                <w:rFonts w:hint="eastAsia"/>
                <w:lang w:eastAsia="zh-CN"/>
              </w:rPr>
              <w:t>《质量和食品安全管理手册》</w:t>
            </w:r>
            <w:r>
              <w:rPr>
                <w:rFonts w:hint="eastAsia"/>
              </w:rPr>
              <w:t>10.3</w:t>
            </w:r>
            <w:r>
              <w:rPr>
                <w:rFonts w:hint="eastAsia"/>
                <w:lang w:val="en-US" w:eastAsia="zh-CN"/>
              </w:rPr>
              <w:t>条款</w:t>
            </w:r>
          </w:p>
        </w:tc>
        <w:tc>
          <w:tcPr>
            <w:tcW w:w="1366"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hint="eastAsia"/>
              </w:rPr>
            </w:pPr>
            <w:r>
              <w:rPr>
                <w:rFonts w:hint="eastAsia"/>
              </w:rPr>
              <w:t>组织已持续改进</w:t>
            </w:r>
            <w:r>
              <w:rPr>
                <w:rFonts w:hint="eastAsia"/>
                <w:u w:val="single"/>
              </w:rPr>
              <w:t>质量/食品安全管理体系</w:t>
            </w:r>
            <w:r>
              <w:rPr>
                <w:rFonts w:hint="eastAsia"/>
              </w:rPr>
              <w:t>的适宜性、充分性和有效性，以提升食品安全绩效。</w:t>
            </w:r>
          </w:p>
          <w:p>
            <w:pPr>
              <w:shd w:val="clear"/>
            </w:pPr>
            <w:r>
              <w:rPr>
                <w:rFonts w:hint="eastAsia"/>
              </w:rPr>
              <w:t>组织考虑了分析和评价的结果以及管理评审的输出，确定是否存在需求或机遇，这些需求或机遇应作为持续改进的一部分加以应对。</w:t>
            </w:r>
          </w:p>
          <w:p>
            <w:pPr>
              <w:widowControl/>
              <w:shd w:val="clear"/>
              <w:spacing w:before="40"/>
              <w:jc w:val="left"/>
              <w:rPr>
                <w:rFonts w:hint="eastAsia" w:eastAsia="宋体"/>
                <w:lang w:val="en-US" w:eastAsia="zh-CN"/>
              </w:rPr>
            </w:pPr>
            <w:r>
              <w:rPr>
                <w:rFonts w:hint="eastAsia"/>
              </w:rPr>
              <w:sym w:font="Wingdings" w:char="00FE"/>
            </w:r>
            <w:r>
              <w:rPr>
                <w:rFonts w:hint="eastAsia"/>
              </w:rPr>
              <w:t xml:space="preserve"> 管理评审改进措施已落实</w:t>
            </w:r>
          </w:p>
          <w:p>
            <w:pPr>
              <w:shd w:val="clear"/>
            </w:pPr>
            <w:r>
              <w:rPr>
                <w:rFonts w:hint="eastAsia"/>
              </w:rPr>
              <w:sym w:font="Wingdings" w:char="00A8"/>
            </w:r>
            <w:r>
              <w:rPr>
                <w:rFonts w:hint="eastAsia"/>
                <w:highlight w:val="none"/>
              </w:rPr>
              <w:t xml:space="preserve"> 管理评审改进措施未落实的原因：</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u w:val="single"/>
              </w:rPr>
              <w:t xml:space="preserve">     </w:t>
            </w:r>
          </w:p>
          <w:p>
            <w:pPr>
              <w:shd w:val="clear"/>
              <w:rPr>
                <w:rFonts w:hint="eastAsia" w:eastAsia="宋体"/>
                <w:lang w:eastAsia="zh-CN"/>
              </w:rPr>
            </w:pPr>
          </w:p>
          <w:p>
            <w:pPr>
              <w:shd w:val="clear"/>
            </w:pPr>
            <w:r>
              <w:rPr>
                <w:rFonts w:hint="eastAsia"/>
              </w:rPr>
              <w:t>最高管理者应确保组织通过以下活动， 持续改进食品安全管理体系的有效性：</w:t>
            </w:r>
          </w:p>
          <w:p>
            <w:pPr>
              <w:shd w:val="clear"/>
            </w:pPr>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pPr>
              <w:shd w:val="clear"/>
            </w:pPr>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366" w:type="dxa"/>
            <w:vMerge w:val="continue"/>
            <w:shd w:val="clear" w:color="auto" w:fill="auto"/>
          </w:tcPr>
          <w:p>
            <w:pPr>
              <w:shd w:val="clear"/>
            </w:pPr>
          </w:p>
        </w:tc>
      </w:tr>
    </w:tbl>
    <w:p>
      <w:pPr>
        <w:shd w:val="clear"/>
      </w:pPr>
    </w:p>
    <w:p>
      <w:pPr>
        <w:pStyle w:val="2"/>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754D7"/>
    <w:multiLevelType w:val="singleLevel"/>
    <w:tmpl w:val="A61754D7"/>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abstractNum w:abstractNumId="3">
    <w:nsid w:val="36E40B6A"/>
    <w:multiLevelType w:val="singleLevel"/>
    <w:tmpl w:val="36E40B6A"/>
    <w:lvl w:ilvl="0" w:tentative="0">
      <w:start w:val="1"/>
      <w:numFmt w:val="decimal"/>
      <w:suff w:val="space"/>
      <w:lvlText w:val="%1."/>
      <w:lvlJc w:val="left"/>
    </w:lvl>
  </w:abstractNum>
  <w:abstractNum w:abstractNumId="4">
    <w:nsid w:val="56645777"/>
    <w:multiLevelType w:val="singleLevel"/>
    <w:tmpl w:val="56645777"/>
    <w:lvl w:ilvl="0" w:tentative="0">
      <w:start w:val="1"/>
      <w:numFmt w:val="lowerLetter"/>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E600B"/>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3A5387"/>
    <w:rsid w:val="04883DB3"/>
    <w:rsid w:val="049166B1"/>
    <w:rsid w:val="04981EC9"/>
    <w:rsid w:val="050D3D1E"/>
    <w:rsid w:val="056577F0"/>
    <w:rsid w:val="05705C5F"/>
    <w:rsid w:val="057753FF"/>
    <w:rsid w:val="058D3F5E"/>
    <w:rsid w:val="05A05014"/>
    <w:rsid w:val="05F6270F"/>
    <w:rsid w:val="0605101B"/>
    <w:rsid w:val="061B4460"/>
    <w:rsid w:val="065A01DF"/>
    <w:rsid w:val="067B702D"/>
    <w:rsid w:val="06994A8D"/>
    <w:rsid w:val="06AA7E97"/>
    <w:rsid w:val="06AF6496"/>
    <w:rsid w:val="06ED612A"/>
    <w:rsid w:val="08767210"/>
    <w:rsid w:val="08851DD7"/>
    <w:rsid w:val="08C22483"/>
    <w:rsid w:val="08ED1EE8"/>
    <w:rsid w:val="09005957"/>
    <w:rsid w:val="096333C5"/>
    <w:rsid w:val="09933EF9"/>
    <w:rsid w:val="09AA0CA5"/>
    <w:rsid w:val="09FA6045"/>
    <w:rsid w:val="0A015DEF"/>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2A79F2"/>
    <w:rsid w:val="134E7573"/>
    <w:rsid w:val="13890C2B"/>
    <w:rsid w:val="13A420AC"/>
    <w:rsid w:val="13C11723"/>
    <w:rsid w:val="13CA7517"/>
    <w:rsid w:val="13EB79B2"/>
    <w:rsid w:val="145B46D3"/>
    <w:rsid w:val="14C400FD"/>
    <w:rsid w:val="14F1297E"/>
    <w:rsid w:val="14F26225"/>
    <w:rsid w:val="15023387"/>
    <w:rsid w:val="15051B66"/>
    <w:rsid w:val="151414F9"/>
    <w:rsid w:val="15167847"/>
    <w:rsid w:val="15363948"/>
    <w:rsid w:val="154C7AB0"/>
    <w:rsid w:val="155F4281"/>
    <w:rsid w:val="15BC540D"/>
    <w:rsid w:val="15F7492E"/>
    <w:rsid w:val="16210B83"/>
    <w:rsid w:val="16583F2B"/>
    <w:rsid w:val="169D3E09"/>
    <w:rsid w:val="16AB3CAD"/>
    <w:rsid w:val="16E341B9"/>
    <w:rsid w:val="16F10A78"/>
    <w:rsid w:val="17226BDD"/>
    <w:rsid w:val="17446813"/>
    <w:rsid w:val="17684604"/>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6034CD"/>
    <w:rsid w:val="1B7356B1"/>
    <w:rsid w:val="1C392A3A"/>
    <w:rsid w:val="1C6465C0"/>
    <w:rsid w:val="1C857701"/>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311A99"/>
    <w:rsid w:val="247622DE"/>
    <w:rsid w:val="2480482A"/>
    <w:rsid w:val="24A05D8E"/>
    <w:rsid w:val="24FC7C66"/>
    <w:rsid w:val="2519537A"/>
    <w:rsid w:val="258041F6"/>
    <w:rsid w:val="258609CC"/>
    <w:rsid w:val="261B55F8"/>
    <w:rsid w:val="261D5675"/>
    <w:rsid w:val="269C7CAD"/>
    <w:rsid w:val="27196C26"/>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8B632B"/>
    <w:rsid w:val="31B477DB"/>
    <w:rsid w:val="31B67BE2"/>
    <w:rsid w:val="31CA71DD"/>
    <w:rsid w:val="31CC5E08"/>
    <w:rsid w:val="324E5138"/>
    <w:rsid w:val="325251B2"/>
    <w:rsid w:val="32A63A63"/>
    <w:rsid w:val="32A772DD"/>
    <w:rsid w:val="331E21CE"/>
    <w:rsid w:val="33562A0D"/>
    <w:rsid w:val="33715F28"/>
    <w:rsid w:val="33F07155"/>
    <w:rsid w:val="340C6245"/>
    <w:rsid w:val="343C4522"/>
    <w:rsid w:val="347A0336"/>
    <w:rsid w:val="34DA148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1E1DD4"/>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02119A"/>
    <w:rsid w:val="453B1EBC"/>
    <w:rsid w:val="45413E1D"/>
    <w:rsid w:val="45635AEC"/>
    <w:rsid w:val="45BA54FA"/>
    <w:rsid w:val="45EC74A5"/>
    <w:rsid w:val="45F35533"/>
    <w:rsid w:val="45FA6B69"/>
    <w:rsid w:val="460414DD"/>
    <w:rsid w:val="46332B60"/>
    <w:rsid w:val="4654705C"/>
    <w:rsid w:val="468D2C1F"/>
    <w:rsid w:val="468D3CA5"/>
    <w:rsid w:val="46EA7997"/>
    <w:rsid w:val="470243E7"/>
    <w:rsid w:val="471F1498"/>
    <w:rsid w:val="47271944"/>
    <w:rsid w:val="47455B70"/>
    <w:rsid w:val="475C4BFE"/>
    <w:rsid w:val="47BB044C"/>
    <w:rsid w:val="48082673"/>
    <w:rsid w:val="48262DE5"/>
    <w:rsid w:val="48397913"/>
    <w:rsid w:val="4949229C"/>
    <w:rsid w:val="496E72CD"/>
    <w:rsid w:val="49C0281D"/>
    <w:rsid w:val="49E449BF"/>
    <w:rsid w:val="49EC77B8"/>
    <w:rsid w:val="49ED5B1C"/>
    <w:rsid w:val="4A595408"/>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EA4849"/>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65FF0"/>
    <w:rsid w:val="5A6A20C5"/>
    <w:rsid w:val="5AD64AF2"/>
    <w:rsid w:val="5AF30AE1"/>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2D3845"/>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1B81EBC"/>
    <w:rsid w:val="72702455"/>
    <w:rsid w:val="728F2E47"/>
    <w:rsid w:val="72973011"/>
    <w:rsid w:val="72CE7E9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A45665"/>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B7D3776"/>
    <w:rsid w:val="7C090682"/>
    <w:rsid w:val="7C4E6027"/>
    <w:rsid w:val="7C6A6CA8"/>
    <w:rsid w:val="7CF04E00"/>
    <w:rsid w:val="7D0B04E5"/>
    <w:rsid w:val="7D41026F"/>
    <w:rsid w:val="7D59343F"/>
    <w:rsid w:val="7E0A78B3"/>
    <w:rsid w:val="7E2912F3"/>
    <w:rsid w:val="7E402A56"/>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2"/>
    <w:qFormat/>
    <w:uiPriority w:val="99"/>
    <w:rPr>
      <w:rFonts w:ascii="Times New Roman" w:hAnsi="Times New Roman" w:eastAsia="宋体" w:cs="Times New Roman"/>
      <w:sz w:val="18"/>
      <w:szCs w:val="18"/>
    </w:rPr>
  </w:style>
  <w:style w:type="character" w:customStyle="1" w:styleId="15">
    <w:name w:val="批注框文本 字符"/>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纯文本1"/>
    <w:basedOn w:val="1"/>
    <w:qFormat/>
    <w:uiPriority w:val="0"/>
    <w:rPr>
      <w:rFonts w:ascii="宋体" w:hAnsi="Courier New"/>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9197</Words>
  <Characters>9967</Characters>
  <Lines>79</Lines>
  <Paragraphs>22</Paragraphs>
  <TotalTime>4</TotalTime>
  <ScaleCrop>false</ScaleCrop>
  <LinksUpToDate>false</LinksUpToDate>
  <CharactersWithSpaces>11045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2022-06-05T15:01:08Z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18FB34CFAE5040CBA6A0AC41AB07E6E2</vt:lpwstr>
  </property>
</Properties>
</file>