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922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98" w:type="dxa"/>
            <w:vMerge w:val="restart"/>
            <w:shd w:val="clear" w:color="auto" w:fill="DBEEF3" w:themeFill="accent5" w:themeFillTint="32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22" w:type="dxa"/>
            <w:vMerge w:val="restart"/>
            <w:shd w:val="clear" w:color="auto" w:fill="DBEEF3" w:themeFill="accent5" w:themeFillTint="3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采购部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负责人：杨通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周吻</w:t>
            </w:r>
          </w:p>
        </w:tc>
        <w:tc>
          <w:tcPr>
            <w:tcW w:w="1585" w:type="dxa"/>
            <w:vMerge w:val="restart"/>
            <w:shd w:val="clear" w:color="auto" w:fill="DBEEF3" w:themeFill="accent5" w:themeFillTint="3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98" w:type="dxa"/>
            <w:vMerge w:val="continue"/>
            <w:shd w:val="clear" w:color="auto" w:fill="DBEEF3" w:themeFill="accent5" w:themeFillTint="32"/>
            <w:vAlign w:val="center"/>
          </w:tcPr>
          <w:p/>
        </w:tc>
        <w:tc>
          <w:tcPr>
            <w:tcW w:w="922" w:type="dxa"/>
            <w:vMerge w:val="continue"/>
            <w:shd w:val="clear" w:color="auto" w:fill="DBEEF3" w:themeFill="accent5" w:themeFillTint="32"/>
            <w:vAlign w:val="center"/>
          </w:tcPr>
          <w:p/>
        </w:tc>
        <w:tc>
          <w:tcPr>
            <w:tcW w:w="10004" w:type="dxa"/>
            <w:gridSpan w:val="2"/>
            <w:shd w:val="clear" w:color="auto" w:fill="DBEEF3" w:themeFill="accent5" w:themeFillTint="3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审核员：肖新龙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审核沟通方式：腾讯会议/微信/电话</w:t>
            </w:r>
            <w:r>
              <w:rPr>
                <w:rFonts w:hint="eastAsia"/>
                <w:sz w:val="24"/>
                <w:szCs w:val="24"/>
                <w:lang w:eastAsia="zh-CN"/>
              </w:rPr>
              <w:t>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审核日期：2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2-05-20</w:t>
            </w:r>
          </w:p>
        </w:tc>
        <w:tc>
          <w:tcPr>
            <w:tcW w:w="1585" w:type="dxa"/>
            <w:vMerge w:val="continue"/>
            <w:shd w:val="clear" w:color="auto" w:fill="DBEEF3" w:themeFill="accent5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98" w:type="dxa"/>
            <w:vMerge w:val="continue"/>
            <w:shd w:val="clear" w:color="auto" w:fill="DBEEF3" w:themeFill="accent5" w:themeFillTint="32"/>
            <w:vAlign w:val="center"/>
          </w:tcPr>
          <w:p/>
        </w:tc>
        <w:tc>
          <w:tcPr>
            <w:tcW w:w="922" w:type="dxa"/>
            <w:vMerge w:val="continue"/>
            <w:shd w:val="clear" w:color="auto" w:fill="DBEEF3" w:themeFill="accent5" w:themeFillTint="32"/>
            <w:vAlign w:val="center"/>
          </w:tcPr>
          <w:p/>
        </w:tc>
        <w:tc>
          <w:tcPr>
            <w:tcW w:w="10004" w:type="dxa"/>
            <w:gridSpan w:val="2"/>
            <w:shd w:val="clear" w:color="auto" w:fill="DBEEF3" w:themeFill="accent5" w:themeFillTint="3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审核条款：</w:t>
            </w:r>
          </w:p>
          <w:p>
            <w:pPr>
              <w:pStyle w:val="18"/>
              <w:spacing w:after="0" w:line="320" w:lineRule="exact"/>
              <w:rPr>
                <w:rFonts w:hint="default" w:eastAsia="Times New Roman"/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sz w:val="21"/>
                <w:szCs w:val="21"/>
              </w:rPr>
              <w:t>5.3/</w:t>
            </w:r>
            <w:r>
              <w:rPr>
                <w:rFonts w:eastAsia="Times New Roman"/>
                <w:sz w:val="21"/>
                <w:szCs w:val="21"/>
                <w:lang w:val="de-DE"/>
              </w:rPr>
              <w:t>6.2</w:t>
            </w:r>
            <w:r>
              <w:rPr>
                <w:rFonts w:hint="eastAsia" w:eastAsia="Times New Roman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</w:p>
          <w:p>
            <w:pPr>
              <w:pStyle w:val="6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Times New Roman"/>
                <w:sz w:val="21"/>
                <w:szCs w:val="21"/>
              </w:rPr>
              <w:t>.3/6.2/7.1.6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1585" w:type="dxa"/>
            <w:vMerge w:val="continue"/>
            <w:shd w:val="clear" w:color="auto" w:fill="DBEEF3" w:themeFill="accent5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98" w:type="dxa"/>
            <w:vMerge w:val="restart"/>
            <w:shd w:val="clear" w:color="auto" w:fill="DBEEF3" w:themeFill="accent5" w:themeFillTint="32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922" w:type="dxa"/>
            <w:vMerge w:val="restart"/>
            <w:shd w:val="clear" w:color="auto" w:fill="DBEEF3" w:themeFill="accent5" w:themeFillTint="3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Q5.3</w:t>
            </w:r>
          </w:p>
          <w:p>
            <w:r>
              <w:rPr>
                <w:rFonts w:hint="eastAsia"/>
              </w:rPr>
              <w:t>F5.3</w:t>
            </w:r>
          </w:p>
          <w:p/>
        </w:tc>
        <w:tc>
          <w:tcPr>
            <w:tcW w:w="745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  <w:color w:val="auto"/>
              </w:rPr>
              <w:fldChar w:fldCharType="begin"/>
            </w:r>
            <w:r>
              <w:rPr>
                <w:rFonts w:ascii="宋体" w:hAnsi="宋体"/>
                <w:color w:val="auto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</w:rPr>
              <w:instrText xml:space="preserve">eq \o\ac(□</w:instrText>
            </w:r>
            <w:r>
              <w:rPr>
                <w:rFonts w:hint="eastAsia" w:ascii="宋体" w:hAnsi="宋体"/>
                <w:color w:val="auto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auto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auto"/>
              </w:rPr>
              <w:instrText xml:space="preserve">)</w:instrText>
            </w:r>
            <w:r>
              <w:rPr>
                <w:rFonts w:ascii="宋体" w:hAnsi="宋体"/>
                <w:color w:val="auto"/>
              </w:rPr>
              <w:fldChar w:fldCharType="end"/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质量和食品</w:t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85" w:type="dxa"/>
            <w:vMerge w:val="restart"/>
            <w:shd w:val="clear" w:color="auto" w:fill="DBEEF3" w:themeFill="accent5" w:themeFillTint="32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fldChar w:fldCharType="begin"/>
            </w:r>
            <w:r>
              <w:rPr>
                <w:rFonts w:ascii="宋体" w:hAnsi="宋体"/>
                <w:color w:val="auto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</w:rPr>
              <w:instrText xml:space="preserve">eq \o\ac(□</w:instrText>
            </w:r>
            <w:r>
              <w:rPr>
                <w:rFonts w:hint="eastAsia" w:ascii="宋体" w:hAnsi="宋体"/>
                <w:color w:val="auto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auto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auto"/>
              </w:rPr>
              <w:instrText xml:space="preserve">)</w:instrText>
            </w:r>
            <w:r>
              <w:rPr>
                <w:rFonts w:ascii="宋体" w:hAnsi="宋体"/>
                <w:color w:val="auto"/>
              </w:rPr>
              <w:fldChar w:fldCharType="end"/>
            </w:r>
            <w:r>
              <w:rPr>
                <w:rFonts w:hint="eastAsia" w:ascii="宋体" w:hAnsi="宋体"/>
                <w:color w:val="auto"/>
              </w:rPr>
              <w:t>符合</w:t>
            </w:r>
          </w:p>
          <w:p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98" w:type="dxa"/>
            <w:vMerge w:val="continue"/>
            <w:shd w:val="clear" w:color="auto" w:fill="DBEEF3" w:themeFill="accent5" w:themeFillTint="32"/>
          </w:tcPr>
          <w:p/>
        </w:tc>
        <w:tc>
          <w:tcPr>
            <w:tcW w:w="922" w:type="dxa"/>
            <w:vMerge w:val="continue"/>
            <w:shd w:val="clear" w:color="auto" w:fill="DBEEF3" w:themeFill="accent5" w:themeFillTint="32"/>
          </w:tcPr>
          <w:p/>
        </w:tc>
        <w:tc>
          <w:tcPr>
            <w:tcW w:w="745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pPr>
              <w:pStyle w:val="6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负责</w:t>
            </w:r>
            <w:r>
              <w:rPr>
                <w:rFonts w:ascii="宋体" w:hAnsi="宋体" w:eastAsia="宋体" w:cs="宋体"/>
                <w:sz w:val="21"/>
                <w:szCs w:val="21"/>
              </w:rPr>
              <w:t>原辅材料采购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供应商管理、负责采购过程中不合格品的处理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参与内审、管评、食品安全小组的确认验证等工作。</w:t>
            </w:r>
          </w:p>
        </w:tc>
        <w:tc>
          <w:tcPr>
            <w:tcW w:w="1585" w:type="dxa"/>
            <w:vMerge w:val="continue"/>
            <w:shd w:val="clear" w:color="auto" w:fill="DBEEF3" w:themeFill="accent5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98" w:type="dxa"/>
            <w:vMerge w:val="restart"/>
            <w:shd w:val="clear" w:color="auto" w:fill="DBEEF3" w:themeFill="accent5" w:themeFillTint="32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质量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Cs w:val="21"/>
                <w:highlight w:val="none"/>
              </w:rPr>
              <w:t>食品安全目标及其实现的策划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22" w:type="dxa"/>
            <w:vMerge w:val="restart"/>
            <w:shd w:val="clear" w:color="auto" w:fill="DBEEF3" w:themeFill="accent5" w:themeFillTint="32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Q6.2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F6.2</w:t>
            </w:r>
          </w:p>
          <w:p>
            <w:pPr>
              <w:pStyle w:val="6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F</w:t>
            </w:r>
          </w:p>
        </w:tc>
        <w:tc>
          <w:tcPr>
            <w:tcW w:w="745" w:type="dxa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highlight w:val="none"/>
              </w:rPr>
              <w:instrText xml:space="preserve">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质量和食品安全管理</w:t>
            </w:r>
            <w:r>
              <w:rPr>
                <w:rFonts w:hint="eastAsia"/>
                <w:highlight w:val="none"/>
              </w:rPr>
              <w:t>手册</w:t>
            </w:r>
            <w:r>
              <w:rPr>
                <w:rFonts w:hint="eastAsia" w:ascii="宋体" w:hAnsi="宋体"/>
                <w:highlight w:val="none"/>
                <w:lang w:eastAsia="zh-CN"/>
              </w:rPr>
              <w:t>》</w:t>
            </w:r>
            <w:r>
              <w:rPr>
                <w:rFonts w:hint="eastAsia"/>
                <w:highlight w:val="none"/>
              </w:rPr>
              <w:t>第6.2条款、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质量和食品安全管理体系目标分解一栏表</w:t>
            </w:r>
            <w:r>
              <w:rPr>
                <w:rFonts w:hint="eastAsia"/>
                <w:highlight w:val="none"/>
              </w:rPr>
              <w:t>》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eastAsia="zh-CN"/>
              </w:rPr>
              <w:t>《目标完成情况分析报告》</w:t>
            </w:r>
          </w:p>
        </w:tc>
        <w:tc>
          <w:tcPr>
            <w:tcW w:w="1585" w:type="dxa"/>
            <w:vMerge w:val="restart"/>
            <w:shd w:val="clear" w:color="auto" w:fill="DBEEF3" w:themeFill="accent5" w:themeFillTint="32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98" w:type="dxa"/>
            <w:vMerge w:val="continue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922" w:type="dxa"/>
            <w:vMerge w:val="continue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Cs w:val="21"/>
                <w:highlight w:val="none"/>
              </w:rPr>
              <w:t>食品安全目标</w:t>
            </w:r>
            <w:r>
              <w:rPr>
                <w:rFonts w:hint="eastAsia"/>
                <w:highlight w:val="none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Cs w:val="21"/>
                <w:highlight w:val="none"/>
              </w:rPr>
              <w:t>食品安全目标</w:t>
            </w:r>
            <w:r>
              <w:rPr>
                <w:rFonts w:hint="eastAsia"/>
                <w:highlight w:val="none"/>
              </w:rPr>
              <w:t>目标具体、有针对性、可测量并且可实现。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本部门分解的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Cs w:val="21"/>
                <w:highlight w:val="none"/>
              </w:rPr>
              <w:t>食品安全目标</w:t>
            </w:r>
            <w:r>
              <w:rPr>
                <w:rFonts w:hint="eastAsia"/>
                <w:highlight w:val="none"/>
              </w:rPr>
              <w:t>目标实现情况的评价，及其测量方法是：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82"/>
              <w:gridCol w:w="1150"/>
              <w:gridCol w:w="2350"/>
              <w:gridCol w:w="31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2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highlight w:val="none"/>
                    </w:rPr>
                    <w:t>质量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highlight w:val="none"/>
                      <w:lang w:val="en-US" w:eastAsia="zh-CN"/>
                    </w:rPr>
                    <w:t>/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highlight w:val="none"/>
                    </w:rPr>
                    <w:t>食品安全目标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</w:rPr>
                    <w:t>目标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  <w:lang w:val="en-US" w:eastAsia="zh-CN"/>
                    </w:rPr>
                    <w:t>考核频率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  <w:lang w:val="en-US" w:eastAsia="zh-CN"/>
                    </w:rPr>
                    <w:t>考核方法</w:t>
                  </w:r>
                </w:p>
              </w:tc>
              <w:tc>
                <w:tcPr>
                  <w:tcW w:w="312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highlight w:val="none"/>
                    </w:rPr>
                    <w:t>目标实际完成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（</w:t>
                  </w: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2021.09-2022.04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382" w:type="dxa"/>
                  <w:shd w:val="clear" w:color="auto" w:fill="auto"/>
                  <w:vAlign w:val="center"/>
                </w:tcPr>
                <w:p>
                  <w:pPr>
                    <w:spacing w:line="280" w:lineRule="exac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Cs w:val="21"/>
                    </w:rPr>
                    <w:t>合格供方评审率100%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>
                  <w:pPr>
                    <w:pStyle w:val="17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US" w:eastAsia="zh-CN"/>
                    </w:rPr>
                    <w:t>半年</w:t>
                  </w:r>
                </w:p>
              </w:tc>
              <w:tc>
                <w:tcPr>
                  <w:tcW w:w="2350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通过分析报告内容体现</w:t>
                  </w:r>
                </w:p>
              </w:tc>
              <w:tc>
                <w:tcPr>
                  <w:tcW w:w="3127" w:type="dxa"/>
                  <w:shd w:val="clear" w:color="auto" w:fill="auto"/>
                  <w:vAlign w:val="center"/>
                </w:tcPr>
                <w:p>
                  <w:pPr>
                    <w:spacing w:line="280" w:lineRule="exac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Cs w:val="21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2" w:type="dxa"/>
                  <w:shd w:val="clear" w:color="auto" w:fill="auto"/>
                  <w:vAlign w:val="center"/>
                </w:tcPr>
                <w:p>
                  <w:pPr>
                    <w:spacing w:line="280" w:lineRule="exac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Cs w:val="21"/>
                    </w:rPr>
                    <w:t>物资提供及时率＞95%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US" w:eastAsia="zh-CN"/>
                    </w:rPr>
                    <w:t>半年</w:t>
                  </w:r>
                </w:p>
              </w:tc>
              <w:tc>
                <w:tcPr>
                  <w:tcW w:w="2350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通过分析报告内容体现</w:t>
                  </w:r>
                </w:p>
              </w:tc>
              <w:tc>
                <w:tcPr>
                  <w:tcW w:w="3127" w:type="dxa"/>
                  <w:shd w:val="clear" w:color="auto" w:fill="auto"/>
                  <w:vAlign w:val="center"/>
                </w:tcPr>
                <w:p>
                  <w:pPr>
                    <w:spacing w:line="280" w:lineRule="exac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Cs w:val="21"/>
                      <w:lang w:eastAsia="zh-CN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Cs w:val="21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2" w:type="dxa"/>
                  <w:shd w:val="clear" w:color="auto" w:fill="auto"/>
                  <w:vAlign w:val="center"/>
                </w:tcPr>
                <w:p>
                  <w:pPr>
                    <w:spacing w:line="280" w:lineRule="exac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pStyle w:val="17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3127" w:type="dxa"/>
                  <w:shd w:val="clear" w:color="auto" w:fill="auto"/>
                  <w:vAlign w:val="center"/>
                </w:tcPr>
                <w:p>
                  <w:pPr>
                    <w:spacing w:line="280" w:lineRule="exac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2" w:type="dxa"/>
                  <w:shd w:val="clear" w:color="auto" w:fill="auto"/>
                </w:tcPr>
                <w:p>
                  <w:pPr>
                    <w:rPr>
                      <w:szCs w:val="21"/>
                      <w:highlight w:val="none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>
                  <w:pPr>
                    <w:pStyle w:val="17"/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pStyle w:val="17"/>
                    <w:jc w:val="both"/>
                    <w:rPr>
                      <w:rFonts w:hint="eastAsia" w:ascii="宋体" w:hAnsi="宋体" w:eastAsia="宋体" w:cs="宋体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3127" w:type="dxa"/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2" w:type="dxa"/>
                  <w:shd w:val="clear" w:color="auto" w:fill="auto"/>
                </w:tcPr>
                <w:p>
                  <w:pPr>
                    <w:rPr>
                      <w:szCs w:val="21"/>
                      <w:highlight w:val="none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312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highlight w:val="none"/>
              </w:rPr>
              <w:instrText xml:space="preserve">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目标已实现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highlight w:val="none"/>
                <w:lang w:eastAsia="zh-CN"/>
              </w:rPr>
              <w:instrText xml:space="preserve">,√</w:instrText>
            </w:r>
            <w:r>
              <w:rPr>
                <w:rFonts w:hint="eastAsia" w:ascii="宋体" w:hAnsi="宋体"/>
                <w:highlight w:val="none"/>
              </w:rPr>
              <w:instrText xml:space="preserve">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2022年5月份</w:t>
            </w:r>
            <w:r>
              <w:rPr>
                <w:rFonts w:hint="eastAsia"/>
                <w:highlight w:val="none"/>
                <w:lang w:val="en-US" w:eastAsia="zh-CN"/>
              </w:rPr>
              <w:t>目标在实施中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  <w:shd w:val="clear" w:color="auto" w:fill="DBEEF3" w:themeFill="accent5" w:themeFillTint="32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</w:tcPr>
          <w:p>
            <w:r>
              <w:rPr>
                <w:rFonts w:hint="eastAsia"/>
              </w:rPr>
              <w:t>外部提供的过程、产品和服务的控制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Q8.4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F8.2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质量和食品安全管理</w:t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6"/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98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外部提供的过程、产品和服务包括：</w:t>
            </w:r>
          </w:p>
          <w:p>
            <w:pPr>
              <w:ind w:left="210" w:leftChars="100"/>
              <w:rPr>
                <w:rFonts w:hint="eastAsia"/>
                <w:lang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原材料采购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产品的设计和开发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产品检测</w:t>
            </w:r>
            <w:r>
              <w:rPr>
                <w:rFonts w:hint="eastAsia"/>
                <w:lang w:eastAsia="zh-CN"/>
              </w:rPr>
              <w:t>（计量设备检定、</w:t>
            </w:r>
            <w:r>
              <w:rPr>
                <w:rFonts w:hint="eastAsia"/>
                <w:lang w:val="en-US" w:eastAsia="zh-CN"/>
              </w:rPr>
              <w:t>第三方检测外包，发生时签订委托单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某加工工序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部分产品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工装订制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设备维修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外包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售后服务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不合格品处置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顾客满意调查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val="en-US" w:eastAsia="zh-CN"/>
              </w:rPr>
              <w:t xml:space="preserve">虫害消杀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lang w:eastAsia="zh-CN"/>
              </w:rPr>
              <w:t>——</w:t>
            </w:r>
          </w:p>
          <w:p>
            <w:pPr>
              <w:ind w:left="210" w:leftChars="100"/>
              <w:rPr>
                <w:rFonts w:hint="eastAsia"/>
                <w:lang w:eastAsia="zh-CN"/>
              </w:rPr>
            </w:pPr>
          </w:p>
          <w:p>
            <w:r>
              <w:rPr>
                <w:rFonts w:hint="eastAsia"/>
              </w:rPr>
              <w:t>从《合格</w:t>
            </w:r>
            <w:r>
              <w:rPr>
                <w:rFonts w:hint="eastAsia"/>
                <w:lang w:eastAsia="zh-CN"/>
              </w:rPr>
              <w:t>供货商信息记录表</w:t>
            </w:r>
            <w:r>
              <w:rPr>
                <w:rFonts w:hint="eastAsia"/>
              </w:rPr>
              <w:t>》中抽取下列证据：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 xml:space="preserve">新外部供方的初始评价和选择要求——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充分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不充分，说明： </w:t>
            </w:r>
            <w:r>
              <w:rPr>
                <w:rFonts w:hint="eastAsia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rFonts w:hint="default" w:eastAsia="宋体"/>
                <w:highlight w:val="yellow"/>
                <w:u w:val="single"/>
                <w:lang w:val="en-US" w:eastAsia="zh-CN"/>
              </w:rPr>
            </w:pPr>
            <w:r>
              <w:rPr>
                <w:rFonts w:hint="eastAsia"/>
              </w:rPr>
              <w:t>抽查新外部供方的评价记录名称：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合格供方名单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  <w:lang w:val="en-US" w:eastAsia="zh-CN"/>
              </w:rPr>
              <w:t>合格供方4 家，基本涵原辅材料供货商信息，建议将虫害消杀的外包方列入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，随机抽取:</w:t>
            </w:r>
          </w:p>
          <w:p>
            <w:pPr>
              <w:pStyle w:val="10"/>
              <w:rPr>
                <w:rFonts w:hint="eastAsia"/>
                <w:u w:val="single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巴彦淖尔市鑫山福吉肉羊屠宰有限公司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羔羊肉板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《营业执照》编号：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91150802072586709R</w:t>
                  </w:r>
                  <w:r>
                    <w:rPr>
                      <w:rFonts w:hint="eastAsia"/>
                      <w:highlight w:val="none"/>
                    </w:rPr>
                    <w:t xml:space="preserve">   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失效</w:t>
                  </w:r>
                </w:p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《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食品经营许可证</w:t>
                  </w:r>
                  <w:r>
                    <w:rPr>
                      <w:rFonts w:hint="eastAsia"/>
                      <w:highlight w:val="none"/>
                    </w:rPr>
                    <w:t>》编号：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JY11508028096200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失效</w:t>
                  </w:r>
                </w:p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《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畜禽定点屠宰证</w:t>
                  </w:r>
                  <w:r>
                    <w:rPr>
                      <w:rFonts w:hint="eastAsia"/>
                      <w:highlight w:val="none"/>
                    </w:rPr>
                    <w:t>》编号：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 xml:space="preserve">              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其他</w:t>
                  </w:r>
                  <w:r>
                    <w:rPr>
                      <w:rFonts w:hint="eastAsia"/>
                      <w:lang w:val="en-US" w:eastAsia="zh-CN"/>
                    </w:rPr>
                    <w:t xml:space="preserve">: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动物检疫合格证明编号：1507706454，备注【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肉品品质检验合格证：羔羊肉板049947591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】，日期：2021-09-19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产品第三方检测报告：编号AEC415001AEF1002593，名称：去骨羊肉，检测项目：铅、砷、六六六、滴滴涕、莱克多巴胺等，检测单位：谱尼测试，报告日期：2022-04-24，结论：合格。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满足合格供方要求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/>
          <w:p>
            <w:pPr>
              <w:pStyle w:val="6"/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衡水市润佳达塑料制品厂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内包装袋、包装盒/盖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91131181MA07PGJ558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全国工业产品生产许可证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冀XK16-204-00850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其他</w:t>
                  </w:r>
                  <w:r>
                    <w:rPr>
                      <w:rFonts w:hint="eastAsia"/>
                      <w:lang w:val="en-US" w:eastAsia="zh-CN"/>
                    </w:rPr>
                    <w:t>_产品报告：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C-2021-2755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pStyle w:val="1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default"/>
                      <w:u w:val="single"/>
                      <w:lang w:val="en-US" w:eastAsia="zh-CN"/>
                    </w:rPr>
                    <w:t>食品用塑料托盒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：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报告编号：</w:t>
                  </w:r>
                  <w:r>
                    <w:rPr>
                      <w:rFonts w:hint="default"/>
                      <w:color w:val="0000FF"/>
                      <w:lang w:val="en-US" w:eastAsia="zh-CN"/>
                    </w:rPr>
                    <w:t>SY202200418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，检测项目包括：总迁移量、高锰酸钾消耗量、重金属（以 Pb 计）、锑迁移量、乙二醇迁移量等，结论：</w:t>
                  </w:r>
                  <w:r>
                    <w:rPr>
                      <w:rFonts w:hint="default"/>
                      <w:color w:val="0000FF"/>
                      <w:lang w:val="en-US" w:eastAsia="zh-CN"/>
                    </w:rPr>
                    <w:t>所检项目符合 DB13/T 2472-2017 《一次性食品包装用塑料工具通用技术 要求》规定的要求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；报告日期：2022-02-10，检测单位：河北省产品质量监督检验研究院。</w:t>
                  </w:r>
                </w:p>
                <w:p>
                  <w:pPr>
                    <w:pStyle w:val="1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default"/>
                      <w:u w:val="single"/>
                      <w:lang w:val="en-US" w:eastAsia="zh-CN"/>
                    </w:rPr>
                    <w:t>食品用塑料托盒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：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报告编号：</w:t>
                  </w:r>
                  <w:r>
                    <w:rPr>
                      <w:rFonts w:hint="default"/>
                      <w:color w:val="0000FF"/>
                      <w:lang w:val="en-US" w:eastAsia="zh-CN"/>
                    </w:rPr>
                    <w:t>SY202200418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，检测项目包括：总迁移量、高锰酸钾消耗量、重金属（以 Pb 计）、锑迁移量、乙二醇迁移量等，结论：</w:t>
                  </w:r>
                  <w:r>
                    <w:rPr>
                      <w:rFonts w:hint="default"/>
                      <w:color w:val="0000FF"/>
                      <w:lang w:val="en-US" w:eastAsia="zh-CN"/>
                    </w:rPr>
                    <w:t>所检项目符合 DB13/T 2472-2017 《一次性食品包装用塑料工具通用技术 要求》规定的要求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；报告日期：2022-02-10，检测单位：河北省产品质量监督检验研究院</w:t>
                  </w:r>
                  <w:r>
                    <w:rPr>
                      <w:rFonts w:hint="eastAsia"/>
                      <w:lang w:val="en-US" w:eastAsia="zh-CN"/>
                    </w:rPr>
                    <w:t>。</w:t>
                  </w:r>
                </w:p>
                <w:p>
                  <w:pPr>
                    <w:pStyle w:val="1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同时抽查食品用塑料包装袋、食品包装用托盒（PET）的产品检测报告，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每批次采购签订产品采购合同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继续为合格供方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不继续为合格供方</w:t>
                  </w:r>
                </w:p>
              </w:tc>
            </w:tr>
          </w:tbl>
          <w:p>
            <w:pPr>
              <w:pStyle w:val="2"/>
              <w:rPr>
                <w:rFonts w:hint="eastAsia" w:eastAsia="宋体"/>
                <w:lang w:val="en-US" w:eastAsia="zh-CN"/>
              </w:rPr>
            </w:pPr>
          </w:p>
          <w:p>
            <w:pPr>
              <w:pStyle w:val="2"/>
              <w:rPr>
                <w:rFonts w:hint="default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84消毒液从建丰劳保用品店购买，有提供收据。</w:t>
            </w:r>
          </w:p>
          <w:p>
            <w:pPr>
              <w:pStyle w:val="6"/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lang w:val="en-US" w:eastAsia="zh-CN"/>
              </w:rPr>
              <w:t>同时抽取</w:t>
            </w:r>
            <w:r>
              <w:rPr>
                <w:rFonts w:hint="eastAsia"/>
                <w:u w:val="single"/>
                <w:lang w:val="en-US" w:eastAsia="zh-CN"/>
              </w:rPr>
              <w:t xml:space="preserve"> 外纸箱 的供方 全顺（河北）供应链管理有限公司 </w:t>
            </w:r>
            <w:r>
              <w:rPr>
                <w:rFonts w:hint="eastAsia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 xml:space="preserve">牛肉 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 xml:space="preserve"> 大厂回族自治县华瑞肉类有限公司 ；虫害消杀服务 的外包供方 三河市桃园消杀服务部【个体工商户】 ；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XXX公司  </w:t>
            </w:r>
            <w:r>
              <w:rPr>
                <w:rFonts w:hint="eastAsia"/>
              </w:rPr>
              <w:t>；与上述供方评价和选择控制情况。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198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观察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在生产现场和库房确认有是否有是从非合格供方处采购的材料。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没有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</w:rPr>
              <w:t>常温库房</w:t>
            </w:r>
            <w:r>
              <w:rPr>
                <w:rFonts w:hint="eastAsia"/>
                <w:highlight w:val="none"/>
                <w:u w:val="single"/>
              </w:rPr>
              <w:t>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内包材、内包装袋 </w:t>
            </w:r>
          </w:p>
          <w:p>
            <w:pPr>
              <w:rPr>
                <w:rFonts w:hint="eastAsia"/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速冻库存放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——</w:t>
            </w:r>
            <w:r>
              <w:rPr>
                <w:rFonts w:hint="eastAsia"/>
                <w:highlight w:val="none"/>
                <w:u w:val="single"/>
              </w:rPr>
              <w:t>；</w:t>
            </w:r>
          </w:p>
          <w:p>
            <w:pPr>
              <w:rPr>
                <w:rFonts w:hint="eastAsia"/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冷冻库存放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成品分割牛肉，库温-18.3℃；</w:t>
            </w:r>
          </w:p>
          <w:p>
            <w:pPr>
              <w:rPr>
                <w:rFonts w:hint="eastAsia"/>
                <w:u w:val="single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DBEEF3" w:themeFill="accent5" w:themeFillTint="32"/>
          </w:tcPr>
          <w:p>
            <w:r>
              <w:rPr>
                <w:rFonts w:hint="eastAsia"/>
              </w:rPr>
              <w:t>控制类型和程度</w:t>
            </w:r>
          </w:p>
          <w:p/>
          <w:p/>
        </w:tc>
        <w:tc>
          <w:tcPr>
            <w:tcW w:w="922" w:type="dxa"/>
            <w:vMerge w:val="restart"/>
            <w:shd w:val="clear" w:color="auto" w:fill="DBEEF3" w:themeFill="accent5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Q8.4.2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质量和食品安全管理</w:t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DBEEF3" w:themeFill="accent5" w:themeFillTint="32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98" w:type="dxa"/>
            <w:vMerge w:val="continue"/>
            <w:shd w:val="clear" w:color="auto" w:fill="DBEEF3" w:themeFill="accent5" w:themeFillTint="32"/>
          </w:tcPr>
          <w:p/>
        </w:tc>
        <w:tc>
          <w:tcPr>
            <w:tcW w:w="922" w:type="dxa"/>
            <w:vMerge w:val="continue"/>
            <w:shd w:val="clear" w:color="auto" w:fill="DBEEF3" w:themeFill="accent5" w:themeFillTint="32"/>
          </w:tcPr>
          <w:p/>
        </w:tc>
        <w:tc>
          <w:tcPr>
            <w:tcW w:w="745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对供方控制的类型和程度要求：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/>
          <w:p>
            <w:pPr>
              <w:jc w:val="left"/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供方业绩评定表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巴彦淖尔市鑫山福吉肉羊屠宰有限公司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羔羊肉板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验证数量、外观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查验供方的产品合格证、检验报告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采购（外包过程）产品的进货检验或验证要求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查验国家、行业、第三方产品检验报告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第三方管理体系、产品认证的要求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第二方体系、过程产品的审核、验证的要求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评价、选择和再评价供方的内容、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资质、价格、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产品质量、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信誉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设备水平和状况、测量系统、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技术水平、人员素质和能力、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对供方控制有效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对供方控制失效 </w:t>
                  </w:r>
                </w:p>
              </w:tc>
            </w:tr>
          </w:tbl>
          <w:p/>
          <w:p>
            <w:pPr>
              <w:pStyle w:val="2"/>
            </w:pPr>
          </w:p>
          <w:p>
            <w:pPr>
              <w:pStyle w:val="2"/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大厂回族自治县华瑞肉类有限公司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牛肉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验证数量、外观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查验供方的产品合格证、检验报告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采购（外包过程）产品的进货检验或验证要求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查验国家、行业、第三方产品检验报告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第三方管理体系、产品认证的要求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第二方体系、过程产品的审核、验证的要求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评价、选择和再评价供方的内容、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资质、价格、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产品质量、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信誉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设备水平和状况、测量系统、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技术水平、人员素质和能力、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对供方控制有效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对供方控制失效 </w:t>
                  </w:r>
                </w:p>
              </w:tc>
            </w:tr>
          </w:tbl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衡水市润佳达塑料制品厂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内包装袋、包装盒/盖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验证数量、外观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查验供方的产品合格证、检验报告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采购（外包过程）产品的进货检验或验证要求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查验国家、行业、第三方产品检验报告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第三方管理体系、产品认证的要求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第二方体系、过程产品的审核、验证的要求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评价、选择和再评价供方的内容、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资质、价格、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产品质量、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信誉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设备水平和状况、测量系统、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技术水平、人员素质和能力、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对供方控制有效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对供方控制失效 </w:t>
                  </w:r>
                </w:p>
              </w:tc>
            </w:tr>
          </w:tbl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XXX 的供方 XXX有限公司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XXX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XXXX公司 </w:t>
            </w:r>
            <w:r>
              <w:rPr>
                <w:rFonts w:hint="eastAsia"/>
              </w:rPr>
              <w:t>与上述供方评价和选择控制情况。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/>
        </w:tc>
        <w:tc>
          <w:tcPr>
            <w:tcW w:w="1585" w:type="dxa"/>
            <w:vMerge w:val="continue"/>
            <w:shd w:val="clear" w:color="auto" w:fill="DBEEF3" w:themeFill="accent5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DBEEF3" w:themeFill="accent5" w:themeFillTint="32"/>
          </w:tcPr>
          <w:p>
            <w:r>
              <w:rPr>
                <w:rFonts w:hint="eastAsia"/>
              </w:rPr>
              <w:t>提供给外部供方的信息</w:t>
            </w:r>
          </w:p>
        </w:tc>
        <w:tc>
          <w:tcPr>
            <w:tcW w:w="922" w:type="dxa"/>
            <w:vMerge w:val="restart"/>
            <w:shd w:val="clear" w:color="auto" w:fill="DBEEF3" w:themeFill="accent5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Q8.4.3 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质量和食品安全管理</w:t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DBEEF3" w:themeFill="accent5" w:themeFillTint="32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198" w:type="dxa"/>
            <w:vMerge w:val="continue"/>
            <w:shd w:val="clear" w:color="auto" w:fill="DBEEF3" w:themeFill="accent5" w:themeFillTint="32"/>
          </w:tcPr>
          <w:p/>
        </w:tc>
        <w:tc>
          <w:tcPr>
            <w:tcW w:w="922" w:type="dxa"/>
            <w:vMerge w:val="continue"/>
            <w:shd w:val="clear" w:color="auto" w:fill="DBEEF3" w:themeFill="accent5" w:themeFillTint="32"/>
          </w:tcPr>
          <w:p/>
        </w:tc>
        <w:tc>
          <w:tcPr>
            <w:tcW w:w="745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DBEEF3" w:themeFill="accent5" w:themeFillTint="32"/>
          </w:tcPr>
          <w:p>
            <w:r>
              <w:rPr>
                <w:rFonts w:hint="eastAsia"/>
              </w:rPr>
              <w:t>在与外部供方沟通之前，所确定的要求是：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充分适宜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不充分适宜，说明：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>与供方通过微信、QQ、签订产品采购合同等方式进行沟通，随机抽查：</w:t>
            </w:r>
          </w:p>
          <w:p>
            <w:pPr>
              <w:pStyle w:val="6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抽查</w:t>
            </w:r>
            <w:bookmarkStart w:id="0" w:name="_Hlk55997104"/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highlight w:val="none"/>
              </w:rPr>
              <w:t>采购合同》及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highlight w:val="none"/>
              </w:rPr>
              <w:t>《采购计划》</w:t>
            </w:r>
            <w:bookmarkEnd w:id="0"/>
            <w:r>
              <w:rPr>
                <w:rFonts w:hint="eastAsia"/>
              </w:rPr>
              <w:t>。组织与外部供方沟通以下要求：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44"/>
              <w:gridCol w:w="2085"/>
              <w:gridCol w:w="2540"/>
              <w:gridCol w:w="16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采购订单号/日期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highlight w:val="none"/>
                    </w:rPr>
                    <w:t>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highlight w:val="none"/>
                    </w:rPr>
                    <w:t>日</w:t>
                  </w:r>
                </w:p>
              </w:tc>
              <w:tc>
                <w:tcPr>
                  <w:tcW w:w="25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highlight w:val="none"/>
                    </w:rPr>
                    <w:t>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highlight w:val="none"/>
                    </w:rPr>
                    <w:t>日</w:t>
                  </w:r>
                </w:p>
              </w:tc>
              <w:tc>
                <w:tcPr>
                  <w:tcW w:w="167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highlight w:val="none"/>
                    </w:rPr>
                    <w:t>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highlight w:val="none"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过程、产品和服务名称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牛胴体</w:t>
                  </w:r>
                </w:p>
              </w:tc>
              <w:tc>
                <w:tcPr>
                  <w:tcW w:w="254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塑料包材包装盒盖、包装盒底</w:t>
                  </w:r>
                </w:p>
              </w:tc>
              <w:tc>
                <w:tcPr>
                  <w:tcW w:w="1674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外纸箱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过程、产品和服务要求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满足产品标准要求；</w:t>
                  </w:r>
                </w:p>
              </w:tc>
              <w:tc>
                <w:tcPr>
                  <w:tcW w:w="2540" w:type="dxa"/>
                </w:tcPr>
                <w:p>
                  <w:pPr>
                    <w:rPr>
                      <w:rFonts w:hint="default" w:eastAsia="宋体"/>
                      <w:highlight w:val="yellow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产品符合国家标准要求；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产品符合国家标准要求；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 xml:space="preserve">产品和服务批准； 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总经理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方法、过程和设备的批准；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产品和服务的放行的批准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质检部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质检部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质检部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能力，包括所要求的人员资格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办公室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办公室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外部供方与组织的互动；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供方送货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供方送货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供方送货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组织使用的外部供方绩效的控制和监视；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供货及时、每年评价供方供货能力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供货及时、每年评价供方供货能力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供货及时、每年评价供方供货能力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4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组织或其顾客拟在外部供方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实施的验证或确认活动。</w:t>
                  </w:r>
                </w:p>
              </w:tc>
              <w:tc>
                <w:tcPr>
                  <w:tcW w:w="20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不涉及</w:t>
                  </w:r>
                </w:p>
              </w:tc>
              <w:tc>
                <w:tcPr>
                  <w:tcW w:w="2540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不涉及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不涉及</w:t>
                  </w:r>
                </w:p>
              </w:tc>
            </w:tr>
          </w:tbl>
          <w:p/>
        </w:tc>
        <w:tc>
          <w:tcPr>
            <w:tcW w:w="1585" w:type="dxa"/>
            <w:vMerge w:val="continue"/>
            <w:shd w:val="clear" w:color="auto" w:fill="DBEEF3" w:themeFill="accent5" w:themeFillTint="32"/>
          </w:tcPr>
          <w:p/>
        </w:tc>
      </w:tr>
    </w:tbl>
    <w:p>
      <w:pPr>
        <w:pStyle w:val="2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4445</wp:posOffset>
          </wp:positionV>
          <wp:extent cx="419100" cy="421640"/>
          <wp:effectExtent l="0" t="0" r="0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373A"/>
    <w:rsid w:val="000400E2"/>
    <w:rsid w:val="00062E46"/>
    <w:rsid w:val="00071522"/>
    <w:rsid w:val="00073A25"/>
    <w:rsid w:val="000A4138"/>
    <w:rsid w:val="000E6B21"/>
    <w:rsid w:val="00161E82"/>
    <w:rsid w:val="00182530"/>
    <w:rsid w:val="0019695B"/>
    <w:rsid w:val="001A2D7F"/>
    <w:rsid w:val="001C7DD2"/>
    <w:rsid w:val="002939AD"/>
    <w:rsid w:val="00314AF6"/>
    <w:rsid w:val="00337922"/>
    <w:rsid w:val="00340867"/>
    <w:rsid w:val="00380837"/>
    <w:rsid w:val="003A198A"/>
    <w:rsid w:val="003B21C4"/>
    <w:rsid w:val="003B2496"/>
    <w:rsid w:val="003B4966"/>
    <w:rsid w:val="00410914"/>
    <w:rsid w:val="00417D46"/>
    <w:rsid w:val="00423D3B"/>
    <w:rsid w:val="00474F25"/>
    <w:rsid w:val="0048201E"/>
    <w:rsid w:val="005223A0"/>
    <w:rsid w:val="00536930"/>
    <w:rsid w:val="00564E53"/>
    <w:rsid w:val="0056561D"/>
    <w:rsid w:val="005D5659"/>
    <w:rsid w:val="00600C20"/>
    <w:rsid w:val="00644FE2"/>
    <w:rsid w:val="00670B28"/>
    <w:rsid w:val="0067640C"/>
    <w:rsid w:val="006A55E2"/>
    <w:rsid w:val="006E678B"/>
    <w:rsid w:val="006E7B1D"/>
    <w:rsid w:val="006F277F"/>
    <w:rsid w:val="00721894"/>
    <w:rsid w:val="00744C1A"/>
    <w:rsid w:val="00747832"/>
    <w:rsid w:val="00751C5D"/>
    <w:rsid w:val="007757F3"/>
    <w:rsid w:val="0079152F"/>
    <w:rsid w:val="007C1B48"/>
    <w:rsid w:val="007E3B15"/>
    <w:rsid w:val="007E52E7"/>
    <w:rsid w:val="007E6AEB"/>
    <w:rsid w:val="007F0B9E"/>
    <w:rsid w:val="00834771"/>
    <w:rsid w:val="008973EE"/>
    <w:rsid w:val="008E71AB"/>
    <w:rsid w:val="00971600"/>
    <w:rsid w:val="009973B4"/>
    <w:rsid w:val="009C28C1"/>
    <w:rsid w:val="009F7EED"/>
    <w:rsid w:val="00A10A43"/>
    <w:rsid w:val="00A22A49"/>
    <w:rsid w:val="00A55742"/>
    <w:rsid w:val="00A80636"/>
    <w:rsid w:val="00A80EFB"/>
    <w:rsid w:val="00AF0AAB"/>
    <w:rsid w:val="00B21204"/>
    <w:rsid w:val="00B93520"/>
    <w:rsid w:val="00BF597E"/>
    <w:rsid w:val="00C51A36"/>
    <w:rsid w:val="00C55228"/>
    <w:rsid w:val="00C63768"/>
    <w:rsid w:val="00C82624"/>
    <w:rsid w:val="00CE315A"/>
    <w:rsid w:val="00D06F59"/>
    <w:rsid w:val="00D64EFB"/>
    <w:rsid w:val="00D8388C"/>
    <w:rsid w:val="00E6224C"/>
    <w:rsid w:val="00EB0164"/>
    <w:rsid w:val="00EC4C9E"/>
    <w:rsid w:val="00ED0F62"/>
    <w:rsid w:val="00ED2C1D"/>
    <w:rsid w:val="00F22105"/>
    <w:rsid w:val="00F8015C"/>
    <w:rsid w:val="00FE60B0"/>
    <w:rsid w:val="01260C71"/>
    <w:rsid w:val="01E27364"/>
    <w:rsid w:val="01F44B9C"/>
    <w:rsid w:val="02781BC8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B834B4"/>
    <w:rsid w:val="050D3D1E"/>
    <w:rsid w:val="056577F0"/>
    <w:rsid w:val="05705C5F"/>
    <w:rsid w:val="057753FF"/>
    <w:rsid w:val="057A73A8"/>
    <w:rsid w:val="059F2D59"/>
    <w:rsid w:val="05A05014"/>
    <w:rsid w:val="05F6270F"/>
    <w:rsid w:val="0605101B"/>
    <w:rsid w:val="061B4460"/>
    <w:rsid w:val="067B702D"/>
    <w:rsid w:val="06994A8D"/>
    <w:rsid w:val="06AA7E97"/>
    <w:rsid w:val="06EC4BBF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496A23"/>
    <w:rsid w:val="0B515EEB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35CC0"/>
    <w:rsid w:val="0E3F4DF2"/>
    <w:rsid w:val="0E49595F"/>
    <w:rsid w:val="0EB8524B"/>
    <w:rsid w:val="0F47565D"/>
    <w:rsid w:val="0F86648B"/>
    <w:rsid w:val="0F9C35C1"/>
    <w:rsid w:val="0FFA42BF"/>
    <w:rsid w:val="100B6D7F"/>
    <w:rsid w:val="100D075A"/>
    <w:rsid w:val="10576F4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0225CC"/>
    <w:rsid w:val="12563B2D"/>
    <w:rsid w:val="12A2571D"/>
    <w:rsid w:val="12A42EA7"/>
    <w:rsid w:val="12A506D3"/>
    <w:rsid w:val="12BC79FF"/>
    <w:rsid w:val="13296CDD"/>
    <w:rsid w:val="134E7573"/>
    <w:rsid w:val="13890C2B"/>
    <w:rsid w:val="13A420AC"/>
    <w:rsid w:val="13C11723"/>
    <w:rsid w:val="13EB79B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6F24232"/>
    <w:rsid w:val="17226BDD"/>
    <w:rsid w:val="17446813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F23C14"/>
    <w:rsid w:val="1C392A3A"/>
    <w:rsid w:val="1CB1322F"/>
    <w:rsid w:val="1D4D4A00"/>
    <w:rsid w:val="1DC4038A"/>
    <w:rsid w:val="1DF36090"/>
    <w:rsid w:val="1DFE25B1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244294"/>
    <w:rsid w:val="2572363E"/>
    <w:rsid w:val="258041F6"/>
    <w:rsid w:val="258609CC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A885BB4"/>
    <w:rsid w:val="2ABC27BA"/>
    <w:rsid w:val="2ABF6113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0F96802"/>
    <w:rsid w:val="31064141"/>
    <w:rsid w:val="31B477DB"/>
    <w:rsid w:val="31B67BE2"/>
    <w:rsid w:val="31CA71DD"/>
    <w:rsid w:val="320B180B"/>
    <w:rsid w:val="324E5138"/>
    <w:rsid w:val="331E21CE"/>
    <w:rsid w:val="33562A0D"/>
    <w:rsid w:val="33715F28"/>
    <w:rsid w:val="33C34B3F"/>
    <w:rsid w:val="33F07155"/>
    <w:rsid w:val="340866F0"/>
    <w:rsid w:val="340C6245"/>
    <w:rsid w:val="343C4522"/>
    <w:rsid w:val="34623FFA"/>
    <w:rsid w:val="347A0336"/>
    <w:rsid w:val="34F92D63"/>
    <w:rsid w:val="35415CC5"/>
    <w:rsid w:val="35527F1F"/>
    <w:rsid w:val="357914C0"/>
    <w:rsid w:val="35B4280C"/>
    <w:rsid w:val="35D721CD"/>
    <w:rsid w:val="36174333"/>
    <w:rsid w:val="361E6007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D69BC"/>
    <w:rsid w:val="391D25A6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9B4A66"/>
    <w:rsid w:val="3DAB460B"/>
    <w:rsid w:val="3DC05AC9"/>
    <w:rsid w:val="3DDA7DB2"/>
    <w:rsid w:val="3E000AE4"/>
    <w:rsid w:val="3E342793"/>
    <w:rsid w:val="3E3C5235"/>
    <w:rsid w:val="3EA34B57"/>
    <w:rsid w:val="3EEF1E6E"/>
    <w:rsid w:val="3F33126F"/>
    <w:rsid w:val="3F654598"/>
    <w:rsid w:val="3FBB7C2E"/>
    <w:rsid w:val="40571F31"/>
    <w:rsid w:val="40760623"/>
    <w:rsid w:val="408B7234"/>
    <w:rsid w:val="409A38D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71221E"/>
    <w:rsid w:val="44A567F5"/>
    <w:rsid w:val="453B1EBC"/>
    <w:rsid w:val="45635AEC"/>
    <w:rsid w:val="45795008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CE07C2"/>
    <w:rsid w:val="46D3481B"/>
    <w:rsid w:val="46EA7997"/>
    <w:rsid w:val="470243E7"/>
    <w:rsid w:val="471F1498"/>
    <w:rsid w:val="47271944"/>
    <w:rsid w:val="475C4BFE"/>
    <w:rsid w:val="47BB044C"/>
    <w:rsid w:val="48262DE5"/>
    <w:rsid w:val="49137521"/>
    <w:rsid w:val="49C0281D"/>
    <w:rsid w:val="49DA76F9"/>
    <w:rsid w:val="49E449BF"/>
    <w:rsid w:val="49EC77B8"/>
    <w:rsid w:val="49ED5B1C"/>
    <w:rsid w:val="4A0556FB"/>
    <w:rsid w:val="4A273284"/>
    <w:rsid w:val="4A7C5511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E361A"/>
    <w:rsid w:val="4D8F2F88"/>
    <w:rsid w:val="4DB86BCB"/>
    <w:rsid w:val="4DCD0BD8"/>
    <w:rsid w:val="4DD454D1"/>
    <w:rsid w:val="4DD85058"/>
    <w:rsid w:val="4E0166A9"/>
    <w:rsid w:val="4E1551DB"/>
    <w:rsid w:val="4E7774D0"/>
    <w:rsid w:val="4E8716C9"/>
    <w:rsid w:val="4EF1500A"/>
    <w:rsid w:val="4F594843"/>
    <w:rsid w:val="50356EEC"/>
    <w:rsid w:val="503C3BCC"/>
    <w:rsid w:val="505C4971"/>
    <w:rsid w:val="50795634"/>
    <w:rsid w:val="508C4A05"/>
    <w:rsid w:val="50C41CF1"/>
    <w:rsid w:val="51217DA6"/>
    <w:rsid w:val="51294703"/>
    <w:rsid w:val="51425A27"/>
    <w:rsid w:val="51483713"/>
    <w:rsid w:val="51563511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4E82EBD"/>
    <w:rsid w:val="552A2893"/>
    <w:rsid w:val="556B045B"/>
    <w:rsid w:val="557D4E77"/>
    <w:rsid w:val="55C375DD"/>
    <w:rsid w:val="56156439"/>
    <w:rsid w:val="56643532"/>
    <w:rsid w:val="568B5A7B"/>
    <w:rsid w:val="569D77A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8F92290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9C71B6"/>
    <w:rsid w:val="5CB9068F"/>
    <w:rsid w:val="5CE8214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5FE52CA8"/>
    <w:rsid w:val="6018182B"/>
    <w:rsid w:val="601E0F43"/>
    <w:rsid w:val="60596F8D"/>
    <w:rsid w:val="6070742B"/>
    <w:rsid w:val="608075E1"/>
    <w:rsid w:val="608A2A31"/>
    <w:rsid w:val="61326FB1"/>
    <w:rsid w:val="61384C31"/>
    <w:rsid w:val="61CE288E"/>
    <w:rsid w:val="61E77A7E"/>
    <w:rsid w:val="622A4138"/>
    <w:rsid w:val="62385483"/>
    <w:rsid w:val="62385A6C"/>
    <w:rsid w:val="62876D77"/>
    <w:rsid w:val="62CA4AF4"/>
    <w:rsid w:val="62D37C41"/>
    <w:rsid w:val="62E4371E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9003B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7C061B"/>
    <w:rsid w:val="6BC747F5"/>
    <w:rsid w:val="6BD35CE4"/>
    <w:rsid w:val="6BE24E05"/>
    <w:rsid w:val="6C3014BE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849C5"/>
    <w:rsid w:val="6EBD0EA6"/>
    <w:rsid w:val="6EE93BE3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C53AE4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1E2547"/>
    <w:rsid w:val="7D41026F"/>
    <w:rsid w:val="7D59343F"/>
    <w:rsid w:val="7E0A78B3"/>
    <w:rsid w:val="7E0D76D6"/>
    <w:rsid w:val="7E2912F3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3440</Words>
  <Characters>3787</Characters>
  <Lines>96</Lines>
  <Paragraphs>27</Paragraphs>
  <TotalTime>1</TotalTime>
  <ScaleCrop>false</ScaleCrop>
  <LinksUpToDate>false</LinksUpToDate>
  <CharactersWithSpaces>4152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2020-11-08T15:18:00Z</dcterms:created>
  <dc:creator>微软用户</dc:creator>
  <cp:lastModifiedBy>肖新龙</cp:lastModifiedBy>
  <dcterms:modified xsi:type="dcterms:W3CDTF">2022-06-05T13:43:48Z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44ACF752B43344BAB1DD00615101A548</vt:lpwstr>
  </property>
</Properties>
</file>