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】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0"/>
        <w:gridCol w:w="790"/>
        <w:gridCol w:w="1855"/>
        <w:gridCol w:w="86"/>
        <w:gridCol w:w="679"/>
        <w:gridCol w:w="325"/>
        <w:gridCol w:w="805"/>
        <w:gridCol w:w="129"/>
        <w:gridCol w:w="1018"/>
        <w:gridCol w:w="23"/>
        <w:gridCol w:w="271"/>
        <w:gridCol w:w="680"/>
        <w:gridCol w:w="69"/>
        <w:gridCol w:w="3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大厂回族自治县京华瑞食品有限公司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大厂回族自治县南王庄工贸小区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河北省廊坊市</w:t>
            </w:r>
            <w:r>
              <w:rPr>
                <w:rFonts w:hint="eastAsia"/>
                <w:color w:val="0000FF"/>
                <w:szCs w:val="21"/>
              </w:rPr>
              <w:t>大厂回族自治县南王庄工贸小区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王群</w:t>
            </w:r>
            <w:bookmarkEnd w:id="2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15832657718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王飞（总经理）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2849401620qq.com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0232-2022-QF</w:t>
            </w:r>
            <w:bookmarkEnd w:id="7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0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Q：牛羊分割和销售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F：位于</w:t>
            </w:r>
            <w:r>
              <w:rPr>
                <w:rFonts w:hint="eastAsia"/>
                <w:sz w:val="20"/>
                <w:lang w:val="en-US" w:eastAsia="zh-CN"/>
              </w:rPr>
              <w:t>河北省廊坊市</w:t>
            </w:r>
            <w:r>
              <w:rPr>
                <w:sz w:val="20"/>
              </w:rPr>
              <w:t>大厂回族自治县南王庄工贸小区</w:t>
            </w:r>
            <w:r>
              <w:rPr>
                <w:rFonts w:hint="eastAsia"/>
                <w:sz w:val="20"/>
              </w:rPr>
              <w:t>大厂回族自治县京华瑞食品有限公司的牛羊分割和销售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Q：03.01.01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F：CI-1;FI-2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u w:val="single"/>
              </w:rPr>
              <w:t>年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u w:val="single"/>
              </w:rPr>
              <w:t>月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u w:val="single"/>
              </w:rPr>
              <w:t>日 上午至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  <w:u w:val="single"/>
              </w:rPr>
              <w:t>年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u w:val="single"/>
              </w:rPr>
              <w:t>月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u w:val="single"/>
              </w:rPr>
              <w:t>日 下午</w:t>
            </w:r>
            <w:bookmarkEnd w:id="31"/>
            <w:r>
              <w:rPr>
                <w:rFonts w:hint="eastAsia"/>
                <w:b/>
                <w:sz w:val="20"/>
                <w:u w:val="single"/>
              </w:rPr>
              <w:t>(共</w:t>
            </w: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  <w:u w:val="single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2022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5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 xml:space="preserve">日下午 </w:t>
            </w:r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2.0 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F:CI-1,FI-2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Q:03.01.01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F:CI-1,FI-2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3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90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6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1" w:type="dxa"/>
            <w:vAlign w:val="center"/>
          </w:tcPr>
          <w:p/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/>
        </w:tc>
        <w:tc>
          <w:tcPr>
            <w:tcW w:w="2190" w:type="dxa"/>
            <w:gridSpan w:val="6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03275" cy="375285"/>
                  <wp:effectExtent l="0" t="0" r="9525" b="571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2022-05-18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290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739"/>
        <w:gridCol w:w="234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9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7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05-19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8：30-9:00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340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9:00-12:30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管理体系范围及过程、领导作用、岗位职责、体系方针、体系目标策划及实施情况、</w:t>
            </w:r>
            <w:r>
              <w:rPr>
                <w:sz w:val="21"/>
                <w:szCs w:val="21"/>
              </w:rPr>
              <w:t>风险和机遇的控制、资源提供过程、内外部沟通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、监视和测量分析总则、内部审核、</w:t>
            </w:r>
            <w:r>
              <w:rPr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运行策划、不符合项和纠正措施情况、持续改进；初审一阶段问题验证；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QMS：4.1/4.2/4.3/4.4/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5.1/5.2/5.3/6.1/6.2/6.3/7.1.1/</w:t>
            </w:r>
            <w:r>
              <w:rPr>
                <w:rFonts w:hint="eastAsia"/>
                <w:sz w:val="21"/>
                <w:szCs w:val="21"/>
              </w:rPr>
              <w:t>7.4/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10.2/</w:t>
            </w:r>
            <w:r>
              <w:rPr>
                <w:sz w:val="21"/>
                <w:szCs w:val="21"/>
              </w:rPr>
              <w:t>10.3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FSMS：4.1/4.2/4.3/4.4/5.1/5.2/5.3/6.1/6.2/6.3/7.1.1/7.4/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9.1.1/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sz w:val="21"/>
                <w:szCs w:val="21"/>
              </w:rPr>
              <w:t>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10.1/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9:00-12:30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/>
                <w:sz w:val="21"/>
                <w:szCs w:val="21"/>
                <w:highlight w:val="none"/>
              </w:rPr>
              <w:t>和权限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、目标、</w:t>
            </w:r>
            <w:r>
              <w:rPr>
                <w:sz w:val="21"/>
                <w:szCs w:val="21"/>
              </w:rPr>
              <w:t>基础设施、特种设备管理、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sz w:val="21"/>
                <w:szCs w:val="21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撤回召回情况、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OPRP/CCP的实施情况、初审一阶段问题验证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外部提供的食品安全管理体系要素、运行和策划、</w:t>
            </w:r>
            <w:r>
              <w:rPr>
                <w:sz w:val="21"/>
                <w:szCs w:val="21"/>
              </w:rPr>
              <w:t>前提方案、</w:t>
            </w:r>
            <w:r>
              <w:rPr>
                <w:rFonts w:hint="eastAsia"/>
                <w:sz w:val="21"/>
                <w:szCs w:val="21"/>
              </w:rPr>
              <w:t>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、应急准备和响应、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危害控制计划的建立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前提方案PRPs和危害控制计划信息更新</w:t>
            </w:r>
            <w:r>
              <w:rPr>
                <w:sz w:val="21"/>
                <w:szCs w:val="21"/>
              </w:rPr>
              <w:t>、验证策划、标识和可追溯性系统/计划、控制措施组合的确认、食品安全管理体系的验证及结果分析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食品安全管理体系的更新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一阶段问题验证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 w:eastAsia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  <w:highlight w:val="none"/>
              </w:rPr>
              <w:t>和权限</w:t>
            </w:r>
            <w:r>
              <w:rPr>
                <w:sz w:val="21"/>
                <w:szCs w:val="21"/>
              </w:rPr>
              <w:t>、目标管理、内外部沟通、人员健康管理、持证上岗人员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  <w:r>
              <w:rPr>
                <w:sz w:val="21"/>
                <w:szCs w:val="21"/>
              </w:rPr>
              <w:t>、人员招聘、员工培训及有效性评价；知识的管理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文件和记录管理；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6.2/7.1.2/</w:t>
            </w:r>
          </w:p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7.1.6/7.2/7.3/7.4/7.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4"/>
              <w:spacing w:after="0"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</w:t>
            </w:r>
          </w:p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7.2/7.3/7.4/7.5；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/>
                <w:sz w:val="21"/>
                <w:szCs w:val="21"/>
                <w:highlight w:val="none"/>
              </w:rPr>
              <w:t>和权限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、目标、</w:t>
            </w:r>
            <w:r>
              <w:rPr>
                <w:sz w:val="21"/>
                <w:szCs w:val="21"/>
              </w:rPr>
              <w:t>基础设施、特种设备管理、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sz w:val="21"/>
                <w:szCs w:val="21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撤回召回情况、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OPRP/CCP的实施情况、初审一阶段问题验证——继续审核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第一天审核结束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05-20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3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10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  <w:highlight w:val="none"/>
              </w:rPr>
              <w:t>和权限</w:t>
            </w:r>
            <w:r>
              <w:rPr>
                <w:sz w:val="21"/>
                <w:szCs w:val="21"/>
              </w:rPr>
              <w:t>、目标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、产品和服务的要求、交付及交付后活动、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 w:val="21"/>
                <w:szCs w:val="21"/>
              </w:rPr>
              <w:t>、顾客满意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顾客投诉、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撤回和召回情况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bookmarkStart w:id="33" w:name="_GoBack"/>
            <w:r>
              <w:rPr>
                <w:rFonts w:eastAsia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sz w:val="21"/>
                <w:szCs w:val="21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Times New Roman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8.2/</w:t>
            </w:r>
          </w:p>
          <w:p>
            <w:pPr>
              <w:pStyle w:val="14"/>
              <w:spacing w:after="0" w:line="320" w:lineRule="exac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8.5.1/8.5.5/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Times New Roman"/>
                <w:sz w:val="21"/>
                <w:szCs w:val="21"/>
              </w:rPr>
              <w:t>.3/6.2/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</w:t>
            </w:r>
            <w:bookmarkEnd w:id="33"/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/>
                <w:sz w:val="21"/>
                <w:szCs w:val="21"/>
                <w:highlight w:val="none"/>
              </w:rPr>
              <w:t>和权限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、目标、</w:t>
            </w:r>
            <w:r>
              <w:rPr>
                <w:sz w:val="21"/>
                <w:szCs w:val="21"/>
              </w:rPr>
              <w:t>基础设施、特种设备管理、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sz w:val="21"/>
                <w:szCs w:val="21"/>
              </w:rPr>
              <w:t>环境、</w:t>
            </w:r>
            <w:r>
              <w:rPr>
                <w:rFonts w:hint="eastAsia"/>
                <w:sz w:val="21"/>
                <w:szCs w:val="21"/>
              </w:rPr>
              <w:t>生产和服务提供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产品的设计与开发、</w:t>
            </w:r>
            <w:r>
              <w:rPr>
                <w:sz w:val="21"/>
                <w:szCs w:val="21"/>
              </w:rPr>
              <w:t>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撤回召回情况、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OPRP/CCP的实施情况、初审一阶段问题验证—继续审核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.5/8.9.5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10"/>
                <w:sz w:val="21"/>
                <w:szCs w:val="21"/>
                <w:lang w:val="en-US" w:eastAsia="zh-CN" w:bidi="ar-SA"/>
              </w:rPr>
              <w:t>质检部及现场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职责和权限、目标管理、监视和测量资源、产品放行、不合格品管理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sz w:val="21"/>
                <w:szCs w:val="21"/>
                <w:highlight w:val="none"/>
              </w:rPr>
              <w:t>潜在不符合品控制、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OPRP/CCP的实施及现场情况、分析和评价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1"/>
                <w:szCs w:val="21"/>
                <w:highlight w:val="none"/>
              </w:rPr>
              <w:t>QMS: 5.3/6.2/</w:t>
            </w:r>
            <w:r>
              <w:rPr>
                <w:rFonts w:hint="eastAsia"/>
                <w:sz w:val="21"/>
                <w:szCs w:val="21"/>
                <w:highlight w:val="none"/>
              </w:rPr>
              <w:t>7.1.5</w:t>
            </w:r>
            <w:r>
              <w:rPr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sz w:val="21"/>
                <w:szCs w:val="21"/>
                <w:highlight w:val="none"/>
              </w:rPr>
              <w:t>8.6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/8.7</w:t>
            </w:r>
            <w:r>
              <w:rPr>
                <w:sz w:val="21"/>
                <w:szCs w:val="21"/>
                <w:highlight w:val="none"/>
              </w:rPr>
              <w:t>/9.1.3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F:5.3/6.2/</w:t>
            </w:r>
            <w:r>
              <w:rPr>
                <w:rFonts w:hint="eastAsia"/>
                <w:sz w:val="21"/>
                <w:szCs w:val="21"/>
                <w:highlight w:val="none"/>
              </w:rPr>
              <w:t>8.5.4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  <w:highlight w:val="none"/>
              </w:rPr>
              <w:t>/8.7/8.9.1-8.9.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highlight w:val="none"/>
              </w:rPr>
              <w:t>/9.1.2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职责和权限</w:t>
            </w:r>
            <w:r>
              <w:rPr>
                <w:sz w:val="21"/>
                <w:szCs w:val="21"/>
              </w:rPr>
              <w:t>、目标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外部提供的过程产品和服务的控制、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沟通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sz w:val="21"/>
                <w:szCs w:val="21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Times New Roman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Times New Roman"/>
                <w:sz w:val="21"/>
                <w:szCs w:val="21"/>
              </w:rPr>
              <w:t>.3/6.2/7.1.6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13:00-16:00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10"/>
                <w:sz w:val="21"/>
                <w:szCs w:val="21"/>
                <w:lang w:val="en-US" w:eastAsia="zh-CN" w:bidi="ar-SA"/>
              </w:rPr>
              <w:t>质检部及现场</w:t>
            </w: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职责和权限、目标管理、监视和测量资源、产品放行、不合格品管理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sz w:val="21"/>
                <w:szCs w:val="21"/>
                <w:highlight w:val="none"/>
              </w:rPr>
              <w:t>潜在不符合品控制、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OPRP/CCP的实施及现场情况、分析和评价——继续审核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1"/>
                <w:szCs w:val="21"/>
                <w:highlight w:val="none"/>
              </w:rPr>
              <w:t>QMS: 5.3/6.2/</w:t>
            </w:r>
            <w:r>
              <w:rPr>
                <w:rFonts w:hint="eastAsia"/>
                <w:sz w:val="21"/>
                <w:szCs w:val="21"/>
                <w:highlight w:val="none"/>
              </w:rPr>
              <w:t>7.1.5</w:t>
            </w:r>
            <w:r>
              <w:rPr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sz w:val="21"/>
                <w:szCs w:val="21"/>
                <w:highlight w:val="none"/>
              </w:rPr>
              <w:t>8.6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/8.7</w:t>
            </w:r>
            <w:r>
              <w:rPr>
                <w:sz w:val="21"/>
                <w:szCs w:val="21"/>
                <w:highlight w:val="none"/>
              </w:rPr>
              <w:t>/9.1.3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F:5.3/6.2/</w:t>
            </w:r>
            <w:r>
              <w:rPr>
                <w:rFonts w:hint="eastAsia"/>
                <w:sz w:val="21"/>
                <w:szCs w:val="21"/>
                <w:highlight w:val="none"/>
              </w:rPr>
              <w:t>8.5.4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  <w:highlight w:val="none"/>
              </w:rPr>
              <w:t>/8.7/8.9.1-8.9.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highlight w:val="none"/>
              </w:rPr>
              <w:t>/9.1.2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审核组整理材料、内部沟通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审核组与企业管代沟通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17:00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第二天审核结束</w:t>
            </w:r>
          </w:p>
        </w:tc>
        <w:tc>
          <w:tcPr>
            <w:tcW w:w="234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F2A1E72"/>
    <w:rsid w:val="282417F4"/>
    <w:rsid w:val="3ACC0779"/>
    <w:rsid w:val="3E4B1963"/>
    <w:rsid w:val="5BE35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2319</Words>
  <Characters>3912</Characters>
  <Lines>37</Lines>
  <Paragraphs>10</Paragraphs>
  <TotalTime>6</TotalTime>
  <ScaleCrop>false</ScaleCrop>
  <LinksUpToDate>false</LinksUpToDate>
  <CharactersWithSpaces>3990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2022-05-20T07:20:11Z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