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w:t>
            </w:r>
            <w:r>
              <w:rPr>
                <w:rFonts w:hint="eastAsia"/>
                <w:sz w:val="24"/>
                <w:szCs w:val="24"/>
                <w:lang w:val="en-US" w:eastAsia="zh-CN"/>
              </w:rPr>
              <w:t>管理层；</w:t>
            </w:r>
            <w:r>
              <w:rPr>
                <w:rFonts w:hint="eastAsia"/>
                <w:sz w:val="24"/>
                <w:szCs w:val="24"/>
              </w:rPr>
              <w:t>主管领导</w:t>
            </w:r>
            <w:r>
              <w:rPr>
                <w:rFonts w:hint="eastAsia"/>
                <w:sz w:val="24"/>
                <w:szCs w:val="24"/>
                <w:lang w:val="en-US" w:eastAsia="zh-CN"/>
              </w:rPr>
              <w:t>/</w:t>
            </w:r>
            <w:r>
              <w:rPr>
                <w:rFonts w:hint="eastAsia"/>
                <w:sz w:val="24"/>
                <w:szCs w:val="24"/>
              </w:rPr>
              <w:t>陪同人员：</w:t>
            </w:r>
            <w:r>
              <w:rPr>
                <w:rFonts w:hint="eastAsia" w:ascii="Times New Roman" w:hAnsi="Times New Roman"/>
                <w:sz w:val="21"/>
                <w:szCs w:val="21"/>
                <w:lang w:val="en-US" w:eastAsia="zh-CN"/>
              </w:rPr>
              <w:t>周枫</w:t>
            </w:r>
            <w:r>
              <w:rPr>
                <w:rFonts w:hint="eastAsia" w:ascii="Times New Roman" w:hAnsi="Times New Roman"/>
                <w:sz w:val="21"/>
                <w:szCs w:val="21"/>
                <w:lang w:eastAsia="zh-CN"/>
              </w:rPr>
              <w:t>、</w:t>
            </w:r>
            <w:r>
              <w:rPr>
                <w:rFonts w:hint="eastAsia" w:ascii="Times New Roman" w:hAnsi="Times New Roman"/>
                <w:sz w:val="21"/>
                <w:szCs w:val="21"/>
              </w:rPr>
              <w:t>李蔚彧</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bookmarkStart w:id="0" w:name="审核组成员不含组长"/>
            <w:r>
              <w:rPr>
                <w:rFonts w:hint="eastAsia"/>
                <w:sz w:val="24"/>
                <w:szCs w:val="24"/>
                <w:lang w:val="en-US" w:eastAsia="zh-CN"/>
              </w:rPr>
              <w:t>周文/远程审核</w:t>
            </w:r>
            <w:r>
              <w:rPr>
                <w:rFonts w:hint="eastAsia"/>
                <w:sz w:val="24"/>
                <w:szCs w:val="24"/>
              </w:rPr>
              <w:t>，</w:t>
            </w:r>
            <w:bookmarkEnd w:id="0"/>
            <w:r>
              <w:rPr>
                <w:rFonts w:hint="eastAsia"/>
                <w:sz w:val="24"/>
                <w:szCs w:val="24"/>
              </w:rPr>
              <w:t>审核时间：</w:t>
            </w:r>
            <w:bookmarkStart w:id="1" w:name="审核日期"/>
            <w:r>
              <w:t xml:space="preserve">2022年04月18日 </w:t>
            </w:r>
            <w:bookmarkEnd w:id="1"/>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rFonts w:hint="eastAsia"/>
                <w:sz w:val="24"/>
                <w:szCs w:val="24"/>
              </w:rPr>
            </w:pPr>
            <w:r>
              <w:rPr>
                <w:rFonts w:hint="eastAsia"/>
                <w:sz w:val="24"/>
                <w:szCs w:val="24"/>
              </w:rPr>
              <w:t>审核条款：</w:t>
            </w:r>
          </w:p>
          <w:p>
            <w:pPr>
              <w:adjustRightInd w:val="0"/>
              <w:snapToGrid w:val="0"/>
              <w:ind w:right="105" w:rightChars="50"/>
              <w:textAlignment w:val="baseline"/>
              <w:rPr>
                <w:rFonts w:hint="eastAsia" w:ascii="宋体" w:hAnsi="宋体" w:eastAsia="宋体" w:cs="Arial"/>
                <w:sz w:val="21"/>
                <w:szCs w:val="21"/>
              </w:rPr>
            </w:pPr>
            <w:r>
              <w:rPr>
                <w:rFonts w:hint="eastAsia" w:ascii="宋体" w:hAnsi="宋体" w:eastAsia="宋体" w:cs="Arial"/>
                <w:sz w:val="21"/>
                <w:szCs w:val="21"/>
              </w:rPr>
              <w:t>QEO:4.1理解组织及其环境、4.2理解相关方的需求和期望、4.3 确定管理体系的范围、4.4质量/环境/职业健康安全管理体系及其过程、5.2质量/环境/职业健康安全方针、5.3组织的岗位、职责和权限、6.1应对风险和机遇的措施、6.2质量/环境/职业健康安全目标及其实现的策划、9.3管理评审</w:t>
            </w:r>
            <w:r>
              <w:rPr>
                <w:rFonts w:hint="eastAsia" w:ascii="宋体" w:hAnsi="宋体" w:eastAsia="宋体" w:cs="Arial"/>
                <w:sz w:val="21"/>
                <w:szCs w:val="21"/>
                <w:lang w:eastAsia="zh-CN"/>
              </w:rPr>
              <w:t>、</w:t>
            </w:r>
            <w:r>
              <w:rPr>
                <w:rFonts w:hint="eastAsia" w:ascii="宋体" w:hAnsi="宋体" w:eastAsia="宋体" w:cs="Arial"/>
                <w:sz w:val="21"/>
                <w:szCs w:val="21"/>
              </w:rPr>
              <w:t>Q6.3变更的策划、7.1.6组织的知识</w:t>
            </w:r>
            <w:r>
              <w:rPr>
                <w:rFonts w:hint="eastAsia" w:ascii="宋体" w:hAnsi="宋体" w:eastAsia="宋体" w:cs="Arial"/>
                <w:sz w:val="21"/>
                <w:szCs w:val="21"/>
                <w:lang w:eastAsia="zh-CN"/>
              </w:rPr>
              <w:t>、</w:t>
            </w:r>
            <w:r>
              <w:rPr>
                <w:rFonts w:hint="eastAsia" w:ascii="宋体" w:hAnsi="宋体" w:eastAsia="宋体" w:cs="Arial"/>
                <w:sz w:val="21"/>
                <w:szCs w:val="21"/>
              </w:rPr>
              <w:t>O5.4协商与参与、</w:t>
            </w:r>
            <w:r>
              <w:rPr>
                <w:rFonts w:hint="eastAsia" w:ascii="宋体"/>
                <w:sz w:val="21"/>
                <w:szCs w:val="21"/>
                <w:lang w:val="en-US" w:eastAsia="zh-CN"/>
              </w:rPr>
              <w:t>Q8.3不适用条款说明</w:t>
            </w:r>
          </w:p>
          <w:p>
            <w:pPr>
              <w:adjustRightInd w:val="0"/>
              <w:snapToGrid w:val="0"/>
              <w:ind w:right="105" w:rightChars="50"/>
              <w:textAlignment w:val="baseline"/>
              <w:rPr>
                <w:rFonts w:hint="eastAsia" w:ascii="宋体" w:hAnsi="宋体" w:eastAsia="宋体" w:cs="Arial"/>
                <w:sz w:val="21"/>
                <w:szCs w:val="21"/>
              </w:rPr>
            </w:pPr>
            <w:r>
              <w:rPr>
                <w:rFonts w:hint="eastAsia" w:ascii="宋体" w:hAnsi="宋体" w:eastAsia="宋体" w:cs="Arial"/>
                <w:sz w:val="21"/>
                <w:szCs w:val="21"/>
              </w:rPr>
              <w:t>国家/地方监督抽查情况；顾客满意、相关方投诉及处理情况；上次审核不符合验证，变更，证书及标志的使用，</w:t>
            </w:r>
          </w:p>
          <w:p>
            <w:pPr>
              <w:rPr>
                <w:rFonts w:hint="eastAsia"/>
                <w:sz w:val="24"/>
                <w:szCs w:val="24"/>
              </w:rPr>
            </w:pPr>
            <w:r>
              <w:rPr>
                <w:rFonts w:hint="eastAsia" w:ascii="宋体" w:hAnsi="宋体" w:eastAsia="宋体" w:cs="Arial"/>
                <w:sz w:val="21"/>
                <w:szCs w:val="21"/>
              </w:rPr>
              <w:t>验证企业相关资质证明的有效性；</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r>
              <w:rPr>
                <w:rFonts w:hint="eastAsia" w:ascii="宋体" w:hAnsi="宋体" w:cs="Arial"/>
                <w:spacing w:val="-6"/>
                <w:sz w:val="21"/>
                <w:szCs w:val="21"/>
              </w:rPr>
              <w:t>理解组织及其环境</w:t>
            </w:r>
            <w:r>
              <w:rPr>
                <w:rFonts w:hint="eastAsia" w:ascii="宋体" w:hAnsi="宋体" w:cs="Arial"/>
                <w:spacing w:val="-6"/>
                <w:sz w:val="21"/>
                <w:szCs w:val="21"/>
                <w:lang w:eastAsia="zh-CN"/>
              </w:rPr>
              <w:t>；</w:t>
            </w:r>
            <w:r>
              <w:rPr>
                <w:rFonts w:hint="eastAsia" w:ascii="宋体" w:hAnsi="宋体" w:cs="Arial"/>
                <w:spacing w:val="-6"/>
                <w:sz w:val="21"/>
                <w:szCs w:val="21"/>
              </w:rPr>
              <w:t>理解相关方的需求和期望</w:t>
            </w:r>
          </w:p>
        </w:tc>
        <w:tc>
          <w:tcPr>
            <w:tcW w:w="960" w:type="dxa"/>
          </w:tcPr>
          <w:p>
            <w:r>
              <w:rPr>
                <w:rFonts w:hint="eastAsia"/>
              </w:rPr>
              <w:t>QE</w:t>
            </w:r>
            <w:r>
              <w:t>O</w:t>
            </w:r>
            <w:r>
              <w:rPr>
                <w:rFonts w:hint="eastAsia"/>
              </w:rPr>
              <w:t>4.</w:t>
            </w:r>
            <w:r>
              <w:t>1</w:t>
            </w:r>
            <w:r>
              <w:rPr>
                <w:rFonts w:hint="eastAsia"/>
              </w:rPr>
              <w:t>、4.</w:t>
            </w:r>
            <w:r>
              <w:t>2</w:t>
            </w:r>
          </w:p>
          <w:p>
            <w:pPr>
              <w:pStyle w:val="3"/>
              <w:bidi w:val="0"/>
              <w:rPr>
                <w:rFonts w:hint="default" w:eastAsia="黑体"/>
                <w:lang w:val="en-US" w:eastAsia="zh-CN"/>
              </w:rPr>
            </w:pPr>
            <w:r>
              <w:rPr>
                <w:rFonts w:hint="eastAsia" w:ascii="宋体" w:hAnsi="宋体" w:eastAsia="宋体" w:cs="Arial"/>
                <w:b w:val="0"/>
                <w:spacing w:val="-6"/>
                <w:kern w:val="2"/>
                <w:sz w:val="21"/>
                <w:szCs w:val="21"/>
                <w:lang w:val="en-US" w:eastAsia="zh-CN" w:bidi="ar-SA"/>
              </w:rPr>
              <w:t>Q6.1</w:t>
            </w:r>
          </w:p>
        </w:tc>
        <w:tc>
          <w:tcPr>
            <w:tcW w:w="10004" w:type="dxa"/>
          </w:tcPr>
          <w:p>
            <w:pPr>
              <w:pStyle w:val="14"/>
              <w:spacing w:line="360" w:lineRule="auto"/>
              <w:ind w:firstLine="420" w:firstLineChars="200"/>
              <w:rPr>
                <w:rFonts w:hint="eastAsia" w:ascii="Times New Roman" w:hAnsi="Times New Roman"/>
                <w:sz w:val="21"/>
                <w:szCs w:val="21"/>
                <w:lang w:eastAsia="zh-CN"/>
              </w:rPr>
            </w:pPr>
            <w:r>
              <w:rPr>
                <w:rFonts w:hint="eastAsia" w:ascii="Times New Roman" w:hAnsi="Times New Roman"/>
                <w:sz w:val="21"/>
                <w:szCs w:val="21"/>
                <w:lang w:val="en-US" w:eastAsia="zh-CN"/>
              </w:rPr>
              <w:t>法人兼总经理：周枫</w:t>
            </w:r>
            <w:r>
              <w:rPr>
                <w:rFonts w:hint="eastAsia" w:ascii="Times New Roman" w:hAnsi="Times New Roman"/>
                <w:sz w:val="21"/>
                <w:szCs w:val="21"/>
                <w:lang w:eastAsia="zh-CN"/>
              </w:rPr>
              <w:t>；</w:t>
            </w:r>
            <w:r>
              <w:rPr>
                <w:rFonts w:hint="eastAsia" w:ascii="Times New Roman" w:hAnsi="Times New Roman"/>
                <w:sz w:val="21"/>
                <w:szCs w:val="21"/>
                <w:lang w:val="en-US" w:eastAsia="zh-CN"/>
              </w:rPr>
              <w:t>管代：</w:t>
            </w:r>
            <w:r>
              <w:rPr>
                <w:rFonts w:hint="eastAsia" w:ascii="Times New Roman" w:hAnsi="Times New Roman"/>
                <w:sz w:val="21"/>
                <w:szCs w:val="21"/>
              </w:rPr>
              <w:t>李蔚彧</w:t>
            </w:r>
            <w:r>
              <w:rPr>
                <w:rFonts w:hint="eastAsia" w:ascii="Times New Roman" w:hAnsi="Times New Roman"/>
                <w:sz w:val="21"/>
                <w:szCs w:val="21"/>
                <w:lang w:eastAsia="zh-CN"/>
              </w:rPr>
              <w:t>；</w:t>
            </w:r>
            <w:r>
              <w:rPr>
                <w:rFonts w:hint="eastAsia" w:ascii="Times New Roman" w:hAnsi="Times New Roman"/>
                <w:sz w:val="21"/>
                <w:szCs w:val="21"/>
              </w:rPr>
              <w:t>职业健康安全事务代表</w:t>
            </w:r>
            <w:r>
              <w:rPr>
                <w:rFonts w:hint="eastAsia" w:ascii="Times New Roman" w:hAnsi="Times New Roman"/>
                <w:sz w:val="21"/>
                <w:szCs w:val="21"/>
                <w:lang w:eastAsia="zh-CN"/>
              </w:rPr>
              <w:t>：魏爱英；</w:t>
            </w:r>
          </w:p>
          <w:p>
            <w:pPr>
              <w:pStyle w:val="14"/>
              <w:spacing w:line="360" w:lineRule="auto"/>
              <w:ind w:firstLine="420" w:firstLineChars="200"/>
              <w:rPr>
                <w:rFonts w:hint="eastAsia" w:ascii="Times New Roman" w:hAnsi="Times New Roman"/>
                <w:sz w:val="21"/>
                <w:szCs w:val="21"/>
              </w:rPr>
            </w:pPr>
            <w:r>
              <w:rPr>
                <w:rFonts w:hint="eastAsia" w:ascii="Times New Roman" w:hAnsi="Times New Roman"/>
                <w:sz w:val="21"/>
                <w:szCs w:val="21"/>
                <w:lang w:eastAsia="zh-CN"/>
              </w:rPr>
              <w:t>北京盛鑫嘉华环保科技有限公司</w:t>
            </w:r>
            <w:r>
              <w:rPr>
                <w:rFonts w:hint="eastAsia" w:ascii="Times New Roman" w:hAnsi="Times New Roman"/>
                <w:sz w:val="21"/>
                <w:szCs w:val="21"/>
              </w:rPr>
              <w:t>成立于</w:t>
            </w:r>
            <w:r>
              <w:rPr>
                <w:rFonts w:hint="eastAsia" w:ascii="Times New Roman" w:hAnsi="Times New Roman"/>
                <w:sz w:val="21"/>
                <w:szCs w:val="21"/>
                <w:lang w:eastAsia="zh-CN"/>
              </w:rPr>
              <w:t>20</w:t>
            </w:r>
            <w:r>
              <w:rPr>
                <w:rFonts w:hint="eastAsia" w:ascii="Times New Roman" w:hAnsi="Times New Roman"/>
                <w:sz w:val="21"/>
                <w:szCs w:val="21"/>
                <w:lang w:val="en-US" w:eastAsia="zh-CN"/>
              </w:rPr>
              <w:t>09</w:t>
            </w:r>
            <w:r>
              <w:rPr>
                <w:rFonts w:hint="eastAsia" w:ascii="Times New Roman" w:hAnsi="Times New Roman"/>
                <w:sz w:val="21"/>
                <w:szCs w:val="21"/>
              </w:rPr>
              <w:t>年，主要业务为</w:t>
            </w:r>
            <w:r>
              <w:rPr>
                <w:rFonts w:hint="eastAsia" w:ascii="Times New Roman" w:hAnsi="Times New Roman"/>
                <w:sz w:val="21"/>
                <w:szCs w:val="21"/>
                <w:lang w:eastAsia="zh-CN"/>
              </w:rPr>
              <w:t>城市园林绿化；环保草毯的销售</w:t>
            </w:r>
            <w:r>
              <w:rPr>
                <w:rFonts w:hint="eastAsia" w:ascii="Times New Roman" w:hAnsi="Times New Roman"/>
                <w:sz w:val="21"/>
                <w:szCs w:val="21"/>
              </w:rPr>
              <w:t>。公司</w:t>
            </w:r>
            <w:r>
              <w:rPr>
                <w:rFonts w:hint="eastAsia" w:ascii="Times New Roman" w:hAnsi="Times New Roman"/>
                <w:sz w:val="21"/>
                <w:szCs w:val="21"/>
                <w:lang w:val="en-US" w:eastAsia="zh-CN"/>
              </w:rPr>
              <w:t>于2019年9月10日</w:t>
            </w:r>
            <w:r>
              <w:rPr>
                <w:rFonts w:hint="eastAsia" w:ascii="Times New Roman" w:hAnsi="Times New Roman"/>
                <w:sz w:val="21"/>
                <w:szCs w:val="21"/>
              </w:rPr>
              <w:t>依据GB/T19001-2015 idt ISO9001：2015《质量管理体系  要求》</w:t>
            </w:r>
            <w:r>
              <w:rPr>
                <w:rFonts w:hint="eastAsia" w:ascii="Times New Roman" w:hAnsi="Times New Roman"/>
                <w:sz w:val="21"/>
                <w:szCs w:val="21"/>
                <w:lang w:eastAsia="zh-CN"/>
              </w:rPr>
              <w:t>、</w:t>
            </w:r>
            <w:r>
              <w:rPr>
                <w:rFonts w:hint="eastAsia" w:ascii="Times New Roman" w:hAnsi="Times New Roman"/>
                <w:sz w:val="21"/>
                <w:szCs w:val="21"/>
              </w:rPr>
              <w:t>GB/T24001-2015 idt ISO14001：2015《环境管理体系  要求及使用指南》</w:t>
            </w:r>
            <w:r>
              <w:rPr>
                <w:rFonts w:hint="eastAsia" w:ascii="Times New Roman" w:hAnsi="Times New Roman"/>
                <w:sz w:val="21"/>
                <w:szCs w:val="21"/>
                <w:lang w:eastAsia="zh-CN"/>
              </w:rPr>
              <w:t>、GB/T45001-2020/ISO45001:20</w:t>
            </w:r>
            <w:r>
              <w:rPr>
                <w:rFonts w:hint="eastAsia" w:ascii="Times New Roman" w:hAnsi="Times New Roman"/>
                <w:sz w:val="21"/>
                <w:szCs w:val="21"/>
                <w:lang w:val="en-US" w:eastAsia="zh-CN"/>
              </w:rPr>
              <w:t>20</w:t>
            </w:r>
            <w:r>
              <w:rPr>
                <w:rFonts w:hint="eastAsia" w:ascii="Times New Roman" w:hAnsi="Times New Roman"/>
                <w:sz w:val="21"/>
                <w:szCs w:val="21"/>
              </w:rPr>
              <w:t>《职业健康安全管理体系 要求及使用指南》，结合本公司的实际情况和产品特性</w:t>
            </w:r>
            <w:r>
              <w:rPr>
                <w:rFonts w:hint="eastAsia" w:ascii="Times New Roman" w:hAnsi="Times New Roman"/>
                <w:sz w:val="21"/>
                <w:szCs w:val="21"/>
                <w:lang w:eastAsia="zh-CN"/>
              </w:rPr>
              <w:t>，</w:t>
            </w:r>
            <w:r>
              <w:rPr>
                <w:rFonts w:hint="eastAsia" w:ascii="Times New Roman" w:hAnsi="Times New Roman"/>
                <w:sz w:val="21"/>
                <w:szCs w:val="21"/>
              </w:rPr>
              <w:t>建立</w:t>
            </w:r>
            <w:r>
              <w:rPr>
                <w:rFonts w:hint="eastAsia" w:ascii="Times New Roman" w:hAnsi="Times New Roman"/>
                <w:sz w:val="21"/>
                <w:szCs w:val="21"/>
                <w:lang w:eastAsia="zh-CN"/>
              </w:rPr>
              <w:t>、</w:t>
            </w:r>
            <w:r>
              <w:rPr>
                <w:rFonts w:hint="eastAsia" w:ascii="Times New Roman" w:hAnsi="Times New Roman"/>
                <w:sz w:val="21"/>
                <w:szCs w:val="21"/>
                <w:lang w:val="en-US" w:eastAsia="zh-CN"/>
              </w:rPr>
              <w:t>实施、保持和持续改进</w:t>
            </w:r>
            <w:r>
              <w:rPr>
                <w:rFonts w:hint="eastAsia" w:ascii="Times New Roman" w:hAnsi="Times New Roman"/>
                <w:sz w:val="21"/>
                <w:szCs w:val="21"/>
              </w:rPr>
              <w:t>了质量</w:t>
            </w:r>
            <w:r>
              <w:rPr>
                <w:rFonts w:hint="eastAsia" w:ascii="Times New Roman" w:hAnsi="Times New Roman"/>
                <w:sz w:val="21"/>
                <w:szCs w:val="21"/>
                <w:lang w:eastAsia="zh-CN"/>
              </w:rPr>
              <w:t>、</w:t>
            </w:r>
            <w:r>
              <w:rPr>
                <w:rFonts w:hint="eastAsia" w:ascii="Times New Roman" w:hAnsi="Times New Roman"/>
                <w:sz w:val="21"/>
                <w:szCs w:val="21"/>
                <w:lang w:val="en-US" w:eastAsia="zh-CN"/>
              </w:rPr>
              <w:t>环境、职业健康安全一体化管理</w:t>
            </w:r>
            <w:r>
              <w:rPr>
                <w:rFonts w:hint="eastAsia" w:ascii="Times New Roman" w:hAnsi="Times New Roman"/>
                <w:sz w:val="21"/>
                <w:szCs w:val="21"/>
              </w:rPr>
              <w:t>体系，确保在满足国家法规的基础上为客户提供优质的产品和完善的服务。</w:t>
            </w:r>
          </w:p>
          <w:p>
            <w:pPr>
              <w:pStyle w:val="14"/>
              <w:spacing w:line="360" w:lineRule="auto"/>
              <w:ind w:firstLine="420" w:firstLineChars="200"/>
              <w:rPr>
                <w:rFonts w:ascii="Times New Roman" w:hAnsi="Times New Roman"/>
                <w:sz w:val="21"/>
                <w:szCs w:val="21"/>
              </w:rPr>
            </w:pPr>
            <w:r>
              <w:rPr>
                <w:rFonts w:hint="eastAsia" w:ascii="Times New Roman" w:hAnsi="Times New Roman"/>
                <w:sz w:val="21"/>
                <w:szCs w:val="21"/>
              </w:rPr>
              <w:t>根据顾客要求、企业的经验和资源状况，以过程方法模式，识别公司的管理体系所需的过程。采用PDCA循环的管理方法。重点识别</w:t>
            </w:r>
            <w:r>
              <w:rPr>
                <w:rFonts w:hint="eastAsia" w:ascii="Times New Roman" w:hAnsi="Times New Roman"/>
                <w:sz w:val="21"/>
                <w:szCs w:val="21"/>
                <w:lang w:eastAsia="zh-CN"/>
              </w:rPr>
              <w:t>城市园林绿化；环保草毯的销售</w:t>
            </w:r>
            <w:r>
              <w:rPr>
                <w:rFonts w:hint="eastAsia" w:ascii="Times New Roman" w:hAnsi="Times New Roman"/>
                <w:sz w:val="21"/>
                <w:szCs w:val="21"/>
              </w:rPr>
              <w:t>及相关环境</w:t>
            </w:r>
            <w:r>
              <w:rPr>
                <w:rFonts w:hint="eastAsia" w:ascii="Times New Roman" w:hAnsi="Times New Roman"/>
                <w:sz w:val="21"/>
                <w:szCs w:val="21"/>
                <w:lang w:eastAsia="zh-CN"/>
              </w:rPr>
              <w:t>、</w:t>
            </w:r>
            <w:r>
              <w:rPr>
                <w:rFonts w:hint="eastAsia" w:ascii="Times New Roman" w:hAnsi="Times New Roman"/>
                <w:sz w:val="21"/>
                <w:szCs w:val="21"/>
                <w:lang w:val="en-US" w:eastAsia="zh-CN"/>
              </w:rPr>
              <w:t>职业健康安全</w:t>
            </w:r>
            <w:r>
              <w:rPr>
                <w:rFonts w:hint="eastAsia" w:ascii="Times New Roman" w:hAnsi="Times New Roman"/>
                <w:sz w:val="21"/>
                <w:szCs w:val="21"/>
              </w:rPr>
              <w:t>管理活动实现过程、关键过程及其相互作用。通过把管理的过程方法原则和系统方法原理相结合，实现企业的全面管理。</w:t>
            </w:r>
          </w:p>
          <w:p>
            <w:pPr>
              <w:pStyle w:val="14"/>
              <w:spacing w:line="360" w:lineRule="auto"/>
              <w:ind w:firstLine="420" w:firstLineChars="200"/>
              <w:rPr>
                <w:rFonts w:hint="eastAsia" w:ascii="Times New Roman" w:hAnsi="Times New Roman"/>
                <w:sz w:val="21"/>
                <w:szCs w:val="21"/>
              </w:rPr>
            </w:pPr>
            <w:r>
              <w:rPr>
                <w:rFonts w:hint="eastAsia" w:ascii="Times New Roman" w:hAnsi="Times New Roman"/>
                <w:sz w:val="21"/>
                <w:szCs w:val="21"/>
              </w:rPr>
              <w:t>主要</w:t>
            </w:r>
            <w:r>
              <w:rPr>
                <w:rFonts w:hint="eastAsia" w:ascii="Times New Roman" w:hAnsi="Times New Roman"/>
                <w:sz w:val="21"/>
                <w:szCs w:val="21"/>
                <w:lang w:val="en-US" w:eastAsia="zh-CN"/>
              </w:rPr>
              <w:t>产品实现</w:t>
            </w:r>
            <w:r>
              <w:rPr>
                <w:rFonts w:hint="eastAsia" w:ascii="Times New Roman" w:hAnsi="Times New Roman"/>
                <w:sz w:val="21"/>
                <w:szCs w:val="21"/>
              </w:rPr>
              <w:t>过程为：</w:t>
            </w:r>
          </w:p>
          <w:p>
            <w:pPr>
              <w:pStyle w:val="14"/>
              <w:spacing w:line="360" w:lineRule="auto"/>
              <w:ind w:firstLine="420" w:firstLineChars="200"/>
              <w:rPr>
                <w:rFonts w:hint="eastAsia" w:ascii="Times New Roman" w:hAnsi="Times New Roman"/>
                <w:sz w:val="21"/>
                <w:szCs w:val="21"/>
              </w:rPr>
            </w:pPr>
            <w:r>
              <w:rPr>
                <w:rFonts w:hint="eastAsia" w:ascii="Times New Roman" w:hAnsi="Times New Roman"/>
                <w:sz w:val="21"/>
                <w:szCs w:val="21"/>
              </w:rPr>
              <w:t>项目实施流程：</w:t>
            </w:r>
          </w:p>
          <w:p>
            <w:pPr>
              <w:pStyle w:val="14"/>
              <w:spacing w:line="360" w:lineRule="auto"/>
              <w:ind w:firstLine="420" w:firstLineChars="200"/>
              <w:rPr>
                <w:rFonts w:hint="eastAsia" w:ascii="Times New Roman" w:hAnsi="Times New Roman"/>
                <w:sz w:val="21"/>
                <w:szCs w:val="21"/>
              </w:rPr>
            </w:pPr>
            <w:r>
              <w:rPr>
                <w:rFonts w:hint="eastAsia" w:ascii="Times New Roman" w:hAnsi="Times New Roman"/>
                <w:sz w:val="21"/>
                <w:szCs w:val="21"/>
              </w:rPr>
              <w:t>客户洽谈→合同签订→材料采购→进场报验→项目施工→</w:t>
            </w:r>
            <w:r>
              <w:rPr>
                <w:rFonts w:hint="eastAsia" w:ascii="Times New Roman" w:hAnsi="Times New Roman"/>
                <w:sz w:val="21"/>
                <w:szCs w:val="21"/>
                <w:lang w:val="en-US" w:eastAsia="zh-CN"/>
              </w:rPr>
              <w:t>养护服务</w:t>
            </w:r>
            <w:r>
              <w:rPr>
                <w:rFonts w:hint="eastAsia" w:ascii="Times New Roman" w:hAnsi="Times New Roman"/>
                <w:sz w:val="21"/>
                <w:szCs w:val="21"/>
              </w:rPr>
              <w:t>→竣工验收→后期服务。</w:t>
            </w:r>
          </w:p>
          <w:p>
            <w:pPr>
              <w:pStyle w:val="14"/>
              <w:spacing w:line="360" w:lineRule="auto"/>
              <w:ind w:firstLine="420" w:firstLineChars="200"/>
              <w:rPr>
                <w:rFonts w:hint="eastAsia" w:ascii="Times New Roman" w:hAnsi="Times New Roman"/>
                <w:sz w:val="21"/>
                <w:szCs w:val="21"/>
              </w:rPr>
            </w:pPr>
            <w:r>
              <w:rPr>
                <w:rFonts w:hint="eastAsia" w:ascii="Times New Roman" w:hAnsi="Times New Roman"/>
                <w:sz w:val="21"/>
                <w:szCs w:val="21"/>
              </w:rPr>
              <w:t>销售</w:t>
            </w:r>
            <w:r>
              <w:rPr>
                <w:rFonts w:hint="eastAsia" w:ascii="Times New Roman" w:hAnsi="Times New Roman"/>
                <w:sz w:val="21"/>
                <w:szCs w:val="21"/>
                <w:lang w:val="en-US" w:eastAsia="zh-CN"/>
              </w:rPr>
              <w:t>流程</w:t>
            </w:r>
            <w:r>
              <w:rPr>
                <w:rFonts w:hint="eastAsia" w:ascii="Times New Roman" w:hAnsi="Times New Roman"/>
                <w:sz w:val="21"/>
                <w:szCs w:val="21"/>
              </w:rPr>
              <w:t>：</w:t>
            </w:r>
          </w:p>
          <w:p>
            <w:pPr>
              <w:pStyle w:val="14"/>
              <w:spacing w:line="360" w:lineRule="auto"/>
              <w:ind w:firstLine="420" w:firstLineChars="200"/>
              <w:rPr>
                <w:rFonts w:hint="eastAsia" w:ascii="Times New Roman" w:hAnsi="Times New Roman"/>
                <w:sz w:val="21"/>
                <w:szCs w:val="21"/>
              </w:rPr>
            </w:pPr>
            <w:r>
              <w:rPr>
                <w:rFonts w:hint="eastAsia" w:ascii="Times New Roman" w:hAnsi="Times New Roman"/>
                <w:sz w:val="21"/>
                <w:szCs w:val="21"/>
              </w:rPr>
              <w:t>客户接触----合同评审----签订合同-----客户付款------入帐------采购-----客户提货-----验收</w:t>
            </w:r>
          </w:p>
          <w:p>
            <w:pPr>
              <w:pStyle w:val="14"/>
              <w:spacing w:line="360" w:lineRule="auto"/>
              <w:ind w:firstLine="420" w:firstLineChars="200"/>
              <w:rPr>
                <w:rFonts w:hint="eastAsia" w:ascii="Times New Roman" w:hAnsi="Times New Roman"/>
                <w:sz w:val="21"/>
                <w:szCs w:val="21"/>
                <w:lang w:val="en-US" w:eastAsia="zh-CN"/>
              </w:rPr>
            </w:pPr>
            <w:r>
              <w:rPr>
                <w:rFonts w:hint="eastAsia" w:ascii="Times New Roman" w:hAnsi="Times New Roman"/>
                <w:sz w:val="21"/>
                <w:szCs w:val="21"/>
                <w:lang w:val="en-US" w:eastAsia="zh-CN"/>
              </w:rPr>
              <w:t>出示有“组织的内外重要环境因素分析表”及“相关方要求识别及风险应对措施评价记录”，对公司内外部的因素及与管理体系有关的相关方的信息进行了监视与评审。</w:t>
            </w:r>
          </w:p>
          <w:p>
            <w:pPr>
              <w:pStyle w:val="14"/>
              <w:spacing w:line="360" w:lineRule="auto"/>
              <w:rPr>
                <w:rFonts w:hint="eastAsia" w:ascii="Times New Roman" w:hAnsi="Times New Roman"/>
                <w:sz w:val="21"/>
                <w:szCs w:val="21"/>
                <w:lang w:val="en-US" w:eastAsia="zh-CN"/>
              </w:rPr>
            </w:pPr>
            <w:r>
              <w:rPr>
                <w:rFonts w:hint="eastAsia" w:ascii="Times New Roman" w:hAnsi="Times New Roman"/>
                <w:sz w:val="21"/>
                <w:szCs w:val="21"/>
                <w:lang w:val="en-US" w:eastAsia="zh-CN"/>
              </w:rPr>
              <w:t>---核查“风险和机遇应对措施表”，内容包括法规要求、相关方要求、竞争、市场、财务状况等方面的风险和机遇的识别与控制措施。抽查：</w:t>
            </w:r>
          </w:p>
          <w:p>
            <w:pPr>
              <w:pStyle w:val="14"/>
              <w:spacing w:line="360" w:lineRule="auto"/>
              <w:rPr>
                <w:rFonts w:hint="default" w:ascii="Times New Roman" w:hAnsi="Times New Roman"/>
                <w:sz w:val="21"/>
                <w:szCs w:val="21"/>
                <w:lang w:val="en-US" w:eastAsia="zh-CN"/>
              </w:rPr>
            </w:pPr>
            <w:r>
              <w:rPr>
                <w:rFonts w:hint="default" w:ascii="Times New Roman" w:hAnsi="Times New Roman"/>
                <w:sz w:val="21"/>
                <w:szCs w:val="21"/>
                <w:lang w:val="en-US" w:eastAsia="zh-CN"/>
              </w:rPr>
              <w:t>人力资源</w:t>
            </w:r>
            <w:r>
              <w:rPr>
                <w:rFonts w:hint="default" w:ascii="Times New Roman" w:hAnsi="Times New Roman"/>
                <w:sz w:val="21"/>
                <w:szCs w:val="21"/>
                <w:lang w:val="en-US" w:eastAsia="zh-CN"/>
              </w:rPr>
              <w:tab/>
            </w:r>
          </w:p>
          <w:p>
            <w:pPr>
              <w:pStyle w:val="14"/>
              <w:spacing w:line="360" w:lineRule="auto"/>
              <w:rPr>
                <w:rFonts w:hint="default" w:ascii="Times New Roman" w:hAnsi="Times New Roman"/>
                <w:sz w:val="21"/>
                <w:szCs w:val="21"/>
                <w:lang w:val="en-US" w:eastAsia="zh-CN"/>
              </w:rPr>
            </w:pPr>
            <w:r>
              <w:rPr>
                <w:rFonts w:hint="default" w:ascii="Times New Roman" w:hAnsi="Times New Roman"/>
                <w:sz w:val="21"/>
                <w:szCs w:val="21"/>
                <w:lang w:val="en-US" w:eastAsia="zh-CN"/>
              </w:rPr>
              <w:t>风险：人员流动损失，绩效考核不能有效控制，对工作完成质量造成不好的影响。</w:t>
            </w:r>
          </w:p>
          <w:p>
            <w:pPr>
              <w:pStyle w:val="14"/>
              <w:spacing w:line="360" w:lineRule="auto"/>
              <w:rPr>
                <w:rFonts w:hint="default" w:ascii="Times New Roman" w:hAnsi="Times New Roman"/>
                <w:sz w:val="21"/>
                <w:szCs w:val="21"/>
                <w:lang w:val="en-US" w:eastAsia="zh-CN"/>
              </w:rPr>
            </w:pPr>
            <w:r>
              <w:rPr>
                <w:rFonts w:hint="default" w:ascii="Times New Roman" w:hAnsi="Times New Roman"/>
                <w:sz w:val="21"/>
                <w:szCs w:val="21"/>
                <w:lang w:val="en-US" w:eastAsia="zh-CN"/>
              </w:rPr>
              <w:t>机遇：目前现有人员比较稳定，绩效考核能数量开展，提供了较好的基础</w:t>
            </w:r>
            <w:r>
              <w:rPr>
                <w:rFonts w:hint="default" w:ascii="Times New Roman" w:hAnsi="Times New Roman"/>
                <w:sz w:val="21"/>
                <w:szCs w:val="21"/>
                <w:lang w:val="en-US" w:eastAsia="zh-CN"/>
              </w:rPr>
              <w:tab/>
            </w:r>
            <w:r>
              <w:rPr>
                <w:rFonts w:hint="default" w:ascii="Times New Roman" w:hAnsi="Times New Roman"/>
                <w:sz w:val="21"/>
                <w:szCs w:val="21"/>
                <w:lang w:val="en-US" w:eastAsia="zh-CN"/>
              </w:rPr>
              <w:t>3*3=9</w:t>
            </w:r>
            <w:r>
              <w:rPr>
                <w:rFonts w:hint="default" w:ascii="Times New Roman" w:hAnsi="Times New Roman"/>
                <w:sz w:val="21"/>
                <w:szCs w:val="21"/>
                <w:lang w:val="en-US" w:eastAsia="zh-CN"/>
              </w:rPr>
              <w:tab/>
            </w:r>
            <w:r>
              <w:rPr>
                <w:rFonts w:hint="default" w:ascii="Times New Roman" w:hAnsi="Times New Roman"/>
                <w:sz w:val="21"/>
                <w:szCs w:val="21"/>
                <w:lang w:val="en-US" w:eastAsia="zh-CN"/>
              </w:rPr>
              <w:t>一般</w:t>
            </w:r>
          </w:p>
          <w:p>
            <w:pPr>
              <w:pStyle w:val="14"/>
              <w:spacing w:line="360" w:lineRule="auto"/>
              <w:rPr>
                <w:rFonts w:hint="default" w:ascii="Times New Roman" w:hAnsi="Times New Roman"/>
                <w:sz w:val="21"/>
                <w:szCs w:val="21"/>
                <w:lang w:val="en-US" w:eastAsia="zh-CN"/>
              </w:rPr>
            </w:pPr>
            <w:r>
              <w:rPr>
                <w:rFonts w:hint="default" w:ascii="Times New Roman" w:hAnsi="Times New Roman"/>
                <w:sz w:val="21"/>
                <w:szCs w:val="21"/>
                <w:lang w:val="en-US" w:eastAsia="zh-CN"/>
              </w:rPr>
              <w:t>1、各部门及时关注员工心理变化，注意工作方式，创造良好的工作环境，提高员工归属感；</w:t>
            </w:r>
          </w:p>
          <w:p>
            <w:pPr>
              <w:pStyle w:val="14"/>
              <w:spacing w:line="360" w:lineRule="auto"/>
              <w:rPr>
                <w:rFonts w:hint="default" w:ascii="Times New Roman" w:hAnsi="Times New Roman"/>
                <w:sz w:val="21"/>
                <w:szCs w:val="21"/>
                <w:lang w:val="en-US" w:eastAsia="zh-CN"/>
              </w:rPr>
            </w:pPr>
            <w:r>
              <w:rPr>
                <w:rFonts w:hint="default" w:ascii="Times New Roman" w:hAnsi="Times New Roman"/>
                <w:sz w:val="21"/>
                <w:szCs w:val="21"/>
                <w:lang w:val="en-US" w:eastAsia="zh-CN"/>
              </w:rPr>
              <w:t>2、人力资源部做好人员储备，防治人员流失后给公司带来风险</w:t>
            </w:r>
          </w:p>
          <w:p>
            <w:pPr>
              <w:pStyle w:val="14"/>
              <w:spacing w:line="360" w:lineRule="auto"/>
              <w:rPr>
                <w:rFonts w:hint="default" w:ascii="Times New Roman" w:hAnsi="Times New Roman"/>
                <w:sz w:val="21"/>
                <w:szCs w:val="21"/>
                <w:lang w:val="en-US" w:eastAsia="zh-CN"/>
              </w:rPr>
            </w:pPr>
            <w:r>
              <w:rPr>
                <w:rFonts w:hint="default" w:ascii="Times New Roman" w:hAnsi="Times New Roman"/>
                <w:sz w:val="21"/>
                <w:szCs w:val="21"/>
                <w:lang w:val="en-US" w:eastAsia="zh-CN"/>
              </w:rPr>
              <w:t>"基础设施管理公司运行环境"</w:t>
            </w:r>
            <w:r>
              <w:rPr>
                <w:rFonts w:hint="default" w:ascii="Times New Roman" w:hAnsi="Times New Roman"/>
                <w:sz w:val="21"/>
                <w:szCs w:val="21"/>
                <w:lang w:val="en-US" w:eastAsia="zh-CN"/>
              </w:rPr>
              <w:tab/>
            </w:r>
          </w:p>
          <w:p>
            <w:pPr>
              <w:pStyle w:val="14"/>
              <w:spacing w:line="360" w:lineRule="auto"/>
              <w:rPr>
                <w:rFonts w:hint="default" w:ascii="Times New Roman" w:hAnsi="Times New Roman"/>
                <w:sz w:val="21"/>
                <w:szCs w:val="21"/>
                <w:lang w:val="en-US" w:eastAsia="zh-CN"/>
              </w:rPr>
            </w:pPr>
            <w:r>
              <w:rPr>
                <w:rFonts w:hint="default" w:ascii="Times New Roman" w:hAnsi="Times New Roman"/>
                <w:sz w:val="21"/>
                <w:szCs w:val="21"/>
                <w:lang w:val="en-US" w:eastAsia="zh-CN"/>
              </w:rPr>
              <w:t>风险：如果公司现有的运行环境以及设施、设备管理不善，造成的服务停滞，环境污染，会给公司造成很大的风险。</w:t>
            </w:r>
          </w:p>
          <w:p>
            <w:pPr>
              <w:pStyle w:val="14"/>
              <w:spacing w:line="360" w:lineRule="auto"/>
              <w:rPr>
                <w:rFonts w:hint="default" w:ascii="Times New Roman" w:hAnsi="Times New Roman"/>
                <w:sz w:val="21"/>
                <w:szCs w:val="21"/>
                <w:lang w:val="en-US" w:eastAsia="zh-CN"/>
              </w:rPr>
            </w:pPr>
            <w:r>
              <w:rPr>
                <w:rFonts w:hint="default" w:ascii="Times New Roman" w:hAnsi="Times New Roman"/>
                <w:sz w:val="21"/>
                <w:szCs w:val="21"/>
                <w:lang w:val="en-US" w:eastAsia="zh-CN"/>
              </w:rPr>
              <w:t>机遇：基础设备维护练好，为公司发展创造良好的环境。"</w:t>
            </w:r>
            <w:r>
              <w:rPr>
                <w:rFonts w:hint="default" w:ascii="Times New Roman" w:hAnsi="Times New Roman"/>
                <w:sz w:val="21"/>
                <w:szCs w:val="21"/>
                <w:lang w:val="en-US" w:eastAsia="zh-CN"/>
              </w:rPr>
              <w:tab/>
            </w:r>
            <w:r>
              <w:rPr>
                <w:rFonts w:hint="default" w:ascii="Times New Roman" w:hAnsi="Times New Roman"/>
                <w:sz w:val="21"/>
                <w:szCs w:val="21"/>
                <w:lang w:val="en-US" w:eastAsia="zh-CN"/>
              </w:rPr>
              <w:t>3*3=9</w:t>
            </w:r>
            <w:r>
              <w:rPr>
                <w:rFonts w:hint="default" w:ascii="Times New Roman" w:hAnsi="Times New Roman"/>
                <w:sz w:val="21"/>
                <w:szCs w:val="21"/>
                <w:lang w:val="en-US" w:eastAsia="zh-CN"/>
              </w:rPr>
              <w:tab/>
            </w:r>
            <w:r>
              <w:rPr>
                <w:rFonts w:hint="default" w:ascii="Times New Roman" w:hAnsi="Times New Roman"/>
                <w:sz w:val="21"/>
                <w:szCs w:val="21"/>
                <w:lang w:val="en-US" w:eastAsia="zh-CN"/>
              </w:rPr>
              <w:t>一般</w:t>
            </w:r>
            <w:r>
              <w:rPr>
                <w:rFonts w:hint="default" w:ascii="Times New Roman" w:hAnsi="Times New Roman"/>
                <w:sz w:val="21"/>
                <w:szCs w:val="21"/>
                <w:lang w:val="en-US" w:eastAsia="zh-CN"/>
              </w:rPr>
              <w:tab/>
            </w:r>
          </w:p>
          <w:p>
            <w:pPr>
              <w:pStyle w:val="14"/>
              <w:spacing w:line="360" w:lineRule="auto"/>
              <w:rPr>
                <w:rFonts w:hint="default" w:ascii="Times New Roman" w:hAnsi="Times New Roman"/>
                <w:sz w:val="21"/>
                <w:szCs w:val="21"/>
                <w:lang w:val="en-US" w:eastAsia="zh-CN"/>
              </w:rPr>
            </w:pPr>
            <w:r>
              <w:rPr>
                <w:rFonts w:hint="default" w:ascii="Times New Roman" w:hAnsi="Times New Roman"/>
                <w:sz w:val="21"/>
                <w:szCs w:val="21"/>
                <w:lang w:val="en-US" w:eastAsia="zh-CN"/>
              </w:rPr>
              <w:t>综合部严格按照公司年度计划做好设备维护和按照计划更新工作，提高公司设备、设施稳定性。</w:t>
            </w:r>
            <w:r>
              <w:rPr>
                <w:rFonts w:hint="default" w:ascii="Times New Roman" w:hAnsi="Times New Roman"/>
                <w:sz w:val="21"/>
                <w:szCs w:val="21"/>
                <w:lang w:val="en-US" w:eastAsia="zh-CN"/>
              </w:rPr>
              <w:tab/>
            </w:r>
          </w:p>
          <w:p>
            <w:pPr>
              <w:pStyle w:val="14"/>
              <w:spacing w:line="360" w:lineRule="auto"/>
              <w:rPr>
                <w:rFonts w:hint="default" w:ascii="Times New Roman" w:hAnsi="Times New Roman"/>
                <w:sz w:val="21"/>
                <w:szCs w:val="21"/>
                <w:lang w:val="en-US" w:eastAsia="zh-CN"/>
              </w:rPr>
            </w:pPr>
          </w:p>
          <w:p>
            <w:r>
              <w:rPr>
                <w:rFonts w:hint="eastAsia"/>
                <w:sz w:val="21"/>
                <w:szCs w:val="21"/>
              </w:rPr>
              <w:t>——年度保持基本满足要求。</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hint="default" w:eastAsia="宋体"/>
                <w:lang w:val="en-US" w:eastAsia="zh-CN"/>
              </w:rPr>
            </w:pPr>
            <w:r>
              <w:rPr>
                <w:rFonts w:hint="eastAsia" w:ascii="宋体"/>
                <w:sz w:val="21"/>
                <w:szCs w:val="21"/>
              </w:rPr>
              <w:t>管理体系范围确定的适宜性和充分性及体系过程</w:t>
            </w:r>
            <w:r>
              <w:rPr>
                <w:rFonts w:hint="eastAsia" w:ascii="宋体"/>
                <w:sz w:val="21"/>
                <w:szCs w:val="21"/>
                <w:lang w:val="en-US" w:eastAsia="zh-CN"/>
              </w:rPr>
              <w:t>/Q8.3不适用条款说明</w:t>
            </w:r>
          </w:p>
        </w:tc>
        <w:tc>
          <w:tcPr>
            <w:tcW w:w="960" w:type="dxa"/>
          </w:tcPr>
          <w:p>
            <w:r>
              <w:rPr>
                <w:rFonts w:hint="eastAsia"/>
                <w:sz w:val="21"/>
                <w:szCs w:val="21"/>
              </w:rPr>
              <w:t>QE</w:t>
            </w:r>
            <w:r>
              <w:rPr>
                <w:sz w:val="21"/>
                <w:szCs w:val="21"/>
              </w:rPr>
              <w:t>O</w:t>
            </w:r>
            <w:r>
              <w:rPr>
                <w:rFonts w:hint="eastAsia"/>
                <w:sz w:val="21"/>
                <w:szCs w:val="21"/>
              </w:rPr>
              <w:t>4.</w:t>
            </w:r>
            <w:r>
              <w:rPr>
                <w:sz w:val="21"/>
                <w:szCs w:val="21"/>
              </w:rPr>
              <w:t>3</w:t>
            </w:r>
            <w:r>
              <w:rPr>
                <w:rFonts w:hint="eastAsia"/>
                <w:sz w:val="21"/>
                <w:szCs w:val="21"/>
              </w:rPr>
              <w:t>、4.</w:t>
            </w:r>
            <w:r>
              <w:rPr>
                <w:sz w:val="21"/>
                <w:szCs w:val="21"/>
              </w:rPr>
              <w:t>4</w:t>
            </w:r>
          </w:p>
        </w:tc>
        <w:tc>
          <w:tcPr>
            <w:tcW w:w="10004" w:type="dxa"/>
          </w:tcPr>
          <w:p>
            <w:pPr>
              <w:pStyle w:val="14"/>
              <w:spacing w:line="360" w:lineRule="auto"/>
              <w:rPr>
                <w:rFonts w:hint="default" w:ascii="Times New Roman" w:hAnsi="Times New Roman" w:eastAsia="宋体" w:cs="Times New Roman"/>
                <w:sz w:val="21"/>
                <w:szCs w:val="21"/>
                <w:lang w:val="en-US" w:eastAsia="zh-CN"/>
              </w:rPr>
            </w:pPr>
            <w:r>
              <w:rPr>
                <w:rFonts w:hint="eastAsia"/>
                <w:sz w:val="21"/>
                <w:szCs w:val="21"/>
                <w:lang w:val="en-US" w:eastAsia="zh-CN"/>
              </w:rPr>
              <w:t>---</w:t>
            </w:r>
            <w:r>
              <w:rPr>
                <w:rFonts w:hint="eastAsia"/>
                <w:sz w:val="21"/>
                <w:szCs w:val="21"/>
              </w:rPr>
              <w:t>查：管理手册中</w:t>
            </w:r>
            <w:r>
              <w:rPr>
                <w:rFonts w:hint="eastAsia" w:ascii="黑体" w:hAnsi="黑体" w:eastAsia="黑体" w:cs="黑体"/>
                <w:color w:val="000000"/>
                <w:sz w:val="21"/>
                <w:szCs w:val="21"/>
              </w:rPr>
              <w:t>4.3</w:t>
            </w:r>
            <w:r>
              <w:rPr>
                <w:rFonts w:hint="eastAsia" w:ascii="黑体" w:hAnsi="黑体" w:eastAsia="黑体" w:cs="黑体"/>
                <w:color w:val="000000"/>
                <w:sz w:val="21"/>
                <w:szCs w:val="21"/>
                <w:lang w:val="en-US" w:eastAsia="zh-CN"/>
              </w:rPr>
              <w:t>.1</w:t>
            </w:r>
            <w:r>
              <w:rPr>
                <w:rFonts w:hint="eastAsia" w:ascii="黑体" w:hAnsi="黑体" w:eastAsia="黑体" w:cs="黑体"/>
                <w:color w:val="000000"/>
                <w:sz w:val="21"/>
                <w:szCs w:val="21"/>
              </w:rPr>
              <w:t>适用范围：Q:城市园林绿化；环保草毯的销售；ES:城市园林绿化；环保草毯的销售相关的管理活动。</w:t>
            </w:r>
            <w:r>
              <w:rPr>
                <w:rFonts w:hint="eastAsia" w:ascii="Times New Roman" w:hAnsi="Times New Roman" w:eastAsia="宋体" w:cs="Times New Roman"/>
                <w:sz w:val="21"/>
                <w:szCs w:val="21"/>
                <w:lang w:val="en-US" w:eastAsia="zh-CN"/>
              </w:rPr>
              <w:t>即：</w:t>
            </w:r>
          </w:p>
          <w:p>
            <w:pPr>
              <w:pStyle w:val="14"/>
              <w:spacing w:line="360" w:lineRule="auto"/>
              <w:rPr>
                <w:rFonts w:hint="default" w:ascii="Times New Roman" w:hAnsi="Times New Roman" w:eastAsia="宋体" w:cs="Times New Roman"/>
                <w:sz w:val="21"/>
                <w:szCs w:val="21"/>
                <w:lang w:val="en-US" w:eastAsia="zh-CN"/>
              </w:rPr>
            </w:pPr>
            <w:bookmarkStart w:id="2" w:name="审核范围"/>
            <w:r>
              <w:rPr>
                <w:rFonts w:hint="default" w:ascii="Times New Roman" w:hAnsi="Times New Roman" w:eastAsia="宋体" w:cs="Times New Roman"/>
                <w:sz w:val="21"/>
                <w:szCs w:val="21"/>
                <w:lang w:val="en-US" w:eastAsia="zh-CN"/>
              </w:rPr>
              <w:t>Q：城市园林绿化；环保草毯的销售</w:t>
            </w:r>
          </w:p>
          <w:p>
            <w:pPr>
              <w:pStyle w:val="14"/>
              <w:spacing w:line="360" w:lineRule="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E：城市园林绿化；环保草毯的销售所涉及的相关环境管理活动</w:t>
            </w:r>
          </w:p>
          <w:p>
            <w:pPr>
              <w:pStyle w:val="14"/>
              <w:spacing w:line="360" w:lineRule="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O：城市园林绿化；环保草毯的销售所涉及的相关职业健康安全管理活动</w:t>
            </w:r>
            <w:bookmarkEnd w:id="2"/>
          </w:p>
          <w:p>
            <w:pPr>
              <w:pStyle w:val="14"/>
              <w:spacing w:line="360" w:lineRule="auto"/>
              <w:rPr>
                <w:rFonts w:hint="eastAsia" w:ascii="Times New Roman" w:hAnsi="Times New Roman"/>
                <w:sz w:val="21"/>
                <w:szCs w:val="21"/>
                <w:lang w:eastAsia="zh-CN"/>
              </w:rPr>
            </w:pPr>
            <w:r>
              <w:rPr>
                <w:rFonts w:hint="eastAsia" w:ascii="Times New Roman" w:hAnsi="Times New Roman" w:cs="Times New Roman"/>
                <w:sz w:val="21"/>
                <w:szCs w:val="21"/>
                <w:lang w:val="en-US" w:eastAsia="zh-CN"/>
              </w:rPr>
              <w:t>4.3.3</w:t>
            </w:r>
            <w:r>
              <w:rPr>
                <w:rFonts w:hint="eastAsia" w:ascii="黑体" w:hAnsi="黑体" w:eastAsia="黑体" w:cs="黑体"/>
                <w:color w:val="000000"/>
                <w:sz w:val="21"/>
                <w:szCs w:val="21"/>
                <w:lang w:val="en-US" w:eastAsia="zh-CN"/>
              </w:rPr>
              <w:t>标准要求的实用性说明：</w:t>
            </w:r>
            <w:r>
              <w:rPr>
                <w:rFonts w:hint="eastAsia" w:ascii="黑体" w:hAnsi="黑体" w:eastAsia="黑体" w:cs="黑体"/>
                <w:color w:val="000000"/>
                <w:sz w:val="21"/>
                <w:szCs w:val="21"/>
              </w:rPr>
              <w:t>根据建设施工行业管理规定,从事工程设计需要具备相应资质,本公司承揽的城市园林绿化；环保草毯的销售执行发包方提供的施工图设计文件,对工程设计不承担责任,GB/T19001-2016 idt ISO 9001:2015 标准的8.3“产品和服务的设计和开发”过程不适用于本公司</w:t>
            </w:r>
            <w:r>
              <w:rPr>
                <w:rFonts w:hint="eastAsia" w:ascii="黑体" w:hAnsi="黑体" w:eastAsia="黑体" w:cs="黑体"/>
                <w:color w:val="000000"/>
                <w:sz w:val="21"/>
                <w:szCs w:val="21"/>
                <w:lang w:eastAsia="zh-CN"/>
              </w:rPr>
              <w:t>。</w:t>
            </w:r>
          </w:p>
          <w:p>
            <w:pPr>
              <w:pStyle w:val="14"/>
              <w:spacing w:line="360" w:lineRule="auto"/>
              <w:rPr>
                <w:rFonts w:hint="eastAsia" w:ascii="Times New Roman" w:hAnsi="Times New Roman"/>
                <w:sz w:val="21"/>
                <w:szCs w:val="21"/>
                <w:lang w:val="en-US" w:eastAsia="zh-CN"/>
              </w:rPr>
            </w:pPr>
            <w:r>
              <w:rPr>
                <w:rFonts w:hint="eastAsia" w:ascii="Times New Roman" w:hAnsi="Times New Roman"/>
                <w:sz w:val="21"/>
                <w:szCs w:val="21"/>
                <w:lang w:val="en-US" w:eastAsia="zh-CN"/>
              </w:rPr>
              <w:t>即：公司QES管理体系覆盖标准全条款。</w:t>
            </w:r>
          </w:p>
          <w:p>
            <w:pPr>
              <w:pStyle w:val="14"/>
              <w:spacing w:line="360" w:lineRule="auto"/>
              <w:rPr>
                <w:rFonts w:hint="default" w:ascii="Times New Roman" w:hAnsi="Times New Roman"/>
                <w:sz w:val="21"/>
                <w:szCs w:val="21"/>
                <w:lang w:val="en-US" w:eastAsia="zh-CN"/>
              </w:rPr>
            </w:pPr>
            <w:r>
              <w:rPr>
                <w:rFonts w:hint="eastAsia" w:ascii="黑体" w:hAnsi="黑体" w:eastAsia="黑体" w:cs="黑体"/>
                <w:color w:val="000000"/>
                <w:sz w:val="21"/>
                <w:szCs w:val="21"/>
                <w:lang w:val="en-US" w:eastAsia="zh-CN"/>
              </w:rPr>
              <w:t>4.3.2.管理体系活动场所范围：适用于管理体系活动范围所涉及的办公、固定生产场所、临时工程项目部、临时仓储及生活场所等。</w:t>
            </w:r>
            <w:r>
              <w:rPr>
                <w:rFonts w:hint="eastAsia" w:ascii="Times New Roman" w:hAnsi="Times New Roman"/>
                <w:sz w:val="21"/>
                <w:szCs w:val="21"/>
                <w:lang w:val="en-US" w:eastAsia="zh-CN"/>
              </w:rPr>
              <w:t>即物理边界：</w:t>
            </w:r>
          </w:p>
          <w:p>
            <w:pPr>
              <w:pStyle w:val="14"/>
              <w:spacing w:line="360" w:lineRule="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注册地址：</w:t>
            </w:r>
            <w:bookmarkStart w:id="3" w:name="注册地址"/>
            <w:r>
              <w:rPr>
                <w:rFonts w:hint="default" w:ascii="Times New Roman" w:hAnsi="Times New Roman" w:eastAsia="宋体" w:cs="Times New Roman"/>
                <w:sz w:val="21"/>
                <w:szCs w:val="21"/>
                <w:lang w:val="en-US" w:eastAsia="zh-CN"/>
              </w:rPr>
              <w:t>北京市丰台区丰台科学城航丰路8号三幢五层B5118房（园区）</w:t>
            </w:r>
            <w:bookmarkEnd w:id="3"/>
            <w:r>
              <w:rPr>
                <w:rFonts w:hint="eastAsia" w:ascii="Times New Roman" w:hAnsi="Times New Roman" w:eastAsia="宋体" w:cs="Times New Roman"/>
                <w:sz w:val="21"/>
                <w:szCs w:val="21"/>
                <w:lang w:val="en-US" w:eastAsia="zh-CN"/>
              </w:rPr>
              <w:t>；</w:t>
            </w:r>
          </w:p>
          <w:p>
            <w:pPr>
              <w:pStyle w:val="14"/>
              <w:spacing w:line="360" w:lineRule="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生产及办公地址：</w:t>
            </w:r>
            <w:r>
              <w:rPr>
                <w:rFonts w:hint="default" w:ascii="Times New Roman" w:hAnsi="Times New Roman" w:eastAsia="宋体" w:cs="Times New Roman"/>
                <w:sz w:val="21"/>
                <w:szCs w:val="21"/>
                <w:lang w:val="en-US" w:eastAsia="zh-CN"/>
              </w:rPr>
              <w:t>北京市丰台区丰台科学城航丰路8号三幢五层B5118房（园区）</w:t>
            </w:r>
            <w:r>
              <w:rPr>
                <w:rFonts w:hint="eastAsia" w:ascii="Times New Roman" w:hAnsi="Times New Roman" w:cs="Times New Roman"/>
                <w:sz w:val="21"/>
                <w:szCs w:val="21"/>
                <w:lang w:val="en-US" w:eastAsia="zh-CN"/>
              </w:rPr>
              <w:t>；</w:t>
            </w:r>
          </w:p>
          <w:p>
            <w:pPr>
              <w:pStyle w:val="14"/>
              <w:spacing w:line="360" w:lineRule="auto"/>
              <w:rPr>
                <w:rFonts w:hint="default" w:ascii="Times New Roman" w:hAnsi="Times New Roman"/>
                <w:sz w:val="21"/>
                <w:szCs w:val="21"/>
                <w:lang w:val="en-US" w:eastAsia="zh-CN"/>
              </w:rPr>
            </w:pPr>
            <w:r>
              <w:rPr>
                <w:rFonts w:hint="eastAsia" w:ascii="Times New Roman" w:hAnsi="Times New Roman"/>
                <w:sz w:val="21"/>
                <w:szCs w:val="21"/>
                <w:lang w:val="en-US" w:eastAsia="zh-CN"/>
              </w:rPr>
              <w:t>临时施工现场：北京市大兴区左堤路赵村；</w:t>
            </w:r>
          </w:p>
          <w:p>
            <w:pPr>
              <w:spacing w:line="276" w:lineRule="auto"/>
              <w:jc w:val="left"/>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经识别的外包过程：</w:t>
            </w:r>
            <w:r>
              <w:rPr>
                <w:rFonts w:hint="eastAsia" w:cs="Times New Roman"/>
                <w:sz w:val="21"/>
                <w:szCs w:val="21"/>
                <w:lang w:val="en-US" w:eastAsia="zh-CN"/>
              </w:rPr>
              <w:t>负责人表述，</w:t>
            </w:r>
            <w:r>
              <w:rPr>
                <w:rFonts w:hint="eastAsia" w:ascii="宋体" w:hAnsi="宋体" w:cs="宋体"/>
                <w:kern w:val="0"/>
                <w:szCs w:val="21"/>
              </w:rPr>
              <w:t>公司产品为</w:t>
            </w:r>
            <w:r>
              <w:rPr>
                <w:rFonts w:hint="default" w:ascii="Times New Roman" w:hAnsi="Times New Roman" w:eastAsia="宋体" w:cs="Times New Roman"/>
                <w:sz w:val="21"/>
                <w:szCs w:val="21"/>
                <w:lang w:val="en-US" w:eastAsia="zh-CN"/>
              </w:rPr>
              <w:t>环保草毯</w:t>
            </w:r>
            <w:r>
              <w:rPr>
                <w:rFonts w:hint="eastAsia" w:cs="Times New Roman"/>
                <w:sz w:val="21"/>
                <w:szCs w:val="21"/>
                <w:lang w:val="en-US" w:eastAsia="zh-CN"/>
              </w:rPr>
              <w:t>铺设施工及</w:t>
            </w:r>
            <w:r>
              <w:rPr>
                <w:rFonts w:hint="default" w:ascii="Times New Roman" w:hAnsi="Times New Roman" w:eastAsia="宋体" w:cs="Times New Roman"/>
                <w:sz w:val="21"/>
                <w:szCs w:val="21"/>
                <w:lang w:val="en-US" w:eastAsia="zh-CN"/>
              </w:rPr>
              <w:t>环保草毯的销售</w:t>
            </w:r>
            <w:r>
              <w:rPr>
                <w:rFonts w:hint="eastAsia" w:ascii="宋体" w:hAnsi="宋体" w:cs="宋体"/>
                <w:kern w:val="0"/>
                <w:szCs w:val="21"/>
              </w:rPr>
              <w:t>，暂无外包过程发生</w:t>
            </w:r>
            <w:r>
              <w:rPr>
                <w:rFonts w:hint="eastAsia" w:ascii="宋体" w:hAnsi="宋体" w:cs="宋体"/>
                <w:szCs w:val="21"/>
              </w:rPr>
              <w:t>。</w:t>
            </w:r>
          </w:p>
          <w:p>
            <w:pPr>
              <w:pStyle w:val="14"/>
              <w:spacing w:line="360" w:lineRule="auto"/>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w:t>
            </w:r>
            <w:r>
              <w:rPr>
                <w:rFonts w:hint="eastAsia" w:ascii="Times New Roman" w:hAnsi="Times New Roman" w:eastAsia="宋体" w:cs="Times New Roman"/>
                <w:sz w:val="21"/>
                <w:szCs w:val="21"/>
                <w:lang w:val="en-US" w:eastAsia="zh-CN"/>
              </w:rPr>
              <w:t>查组织机构图：覆盖的部门为总经理领导下的综合部、工程部（含项目部）组成。</w:t>
            </w:r>
          </w:p>
          <w:p>
            <w:pPr>
              <w:pStyle w:val="14"/>
              <w:spacing w:line="360" w:lineRule="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——针对上述范围再一次与总经理进行了确认。</w:t>
            </w:r>
          </w:p>
          <w:p>
            <w:pPr>
              <w:spacing w:line="360" w:lineRule="auto"/>
              <w:jc w:val="left"/>
            </w:pPr>
            <w:r>
              <w:rPr>
                <w:rFonts w:hint="eastAsia"/>
                <w:lang w:val="en-US" w:eastAsia="zh-CN"/>
              </w:rPr>
              <w:t>--</w:t>
            </w:r>
            <w:r>
              <w:rPr>
                <w:rFonts w:hint="eastAsia"/>
              </w:rPr>
              <w:t>建立管理体系的目的：</w:t>
            </w:r>
          </w:p>
          <w:p>
            <w:pPr>
              <w:spacing w:line="360" w:lineRule="auto"/>
              <w:jc w:val="left"/>
              <w:rPr>
                <w:rFonts w:hint="eastAsia" w:eastAsia="宋体"/>
                <w:lang w:eastAsia="zh-CN"/>
              </w:rPr>
            </w:pPr>
            <w:r>
              <w:rPr>
                <w:rFonts w:hint="eastAsia"/>
              </w:rPr>
              <w:t>公司领导说明根据行业招投标要求建立管理体系，也是为了进一步规范企业的管理</w:t>
            </w:r>
            <w:r>
              <w:rPr>
                <w:rFonts w:hint="eastAsia"/>
                <w:lang w:eastAsia="zh-CN"/>
              </w:rPr>
              <w:t>。</w:t>
            </w:r>
          </w:p>
          <w:p>
            <w:pPr>
              <w:pStyle w:val="14"/>
              <w:spacing w:line="360" w:lineRule="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--建立了管理体系文件，包括：管理手册、程序文件、管理制度汇编--等。</w:t>
            </w:r>
          </w:p>
          <w:p>
            <w:pPr>
              <w:pStyle w:val="14"/>
              <w:spacing w:line="360" w:lineRule="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在管理手册中包括QES整合的方针和目标、组织机构、职能分配表、各部门职责、流程图、管理体系要求等。</w:t>
            </w:r>
          </w:p>
          <w:p>
            <w:pPr>
              <w:pStyle w:val="14"/>
              <w:spacing w:line="360" w:lineRule="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--主要产品实现过程为：</w:t>
            </w:r>
          </w:p>
          <w:p>
            <w:pPr>
              <w:pStyle w:val="14"/>
              <w:spacing w:line="360" w:lineRule="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项目实施流程：</w:t>
            </w:r>
          </w:p>
          <w:p>
            <w:pPr>
              <w:pStyle w:val="14"/>
              <w:spacing w:line="360" w:lineRule="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客户洽谈→合同签订→材料采购→进场报验→项目施工→养护服务→竣工验收→后期服务。</w:t>
            </w:r>
          </w:p>
          <w:p>
            <w:pPr>
              <w:pStyle w:val="14"/>
              <w:spacing w:line="360" w:lineRule="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销售流程：</w:t>
            </w:r>
          </w:p>
          <w:p>
            <w:pPr>
              <w:pStyle w:val="14"/>
              <w:spacing w:line="360" w:lineRule="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客户接触----合同评审----签订合同-----客户付款------入帐------采购-----客户提货-----验收</w:t>
            </w:r>
            <w:r>
              <w:rPr>
                <w:rFonts w:hint="eastAsia" w:ascii="Times New Roman" w:hAnsi="Times New Roman" w:cs="Times New Roman"/>
                <w:sz w:val="21"/>
                <w:szCs w:val="21"/>
                <w:lang w:val="en-US" w:eastAsia="zh-CN"/>
              </w:rPr>
              <w:t>。</w:t>
            </w:r>
          </w:p>
          <w:p>
            <w:pPr>
              <w:pStyle w:val="14"/>
              <w:spacing w:line="360" w:lineRule="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--确认过程：园林绿化服务过程、销售过程</w:t>
            </w:r>
            <w:r>
              <w:rPr>
                <w:rFonts w:hint="eastAsia" w:ascii="Times New Roman" w:hAnsi="Times New Roman" w:cs="Times New Roman"/>
                <w:sz w:val="21"/>
                <w:szCs w:val="21"/>
                <w:lang w:val="en-US" w:eastAsia="zh-CN"/>
              </w:rPr>
              <w:t>。</w:t>
            </w:r>
          </w:p>
          <w:p>
            <w:pPr>
              <w:pStyle w:val="14"/>
              <w:spacing w:line="360" w:lineRule="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——上述经本次</w:t>
            </w:r>
            <w:r>
              <w:rPr>
                <w:rFonts w:hint="eastAsia" w:ascii="Times New Roman" w:hAnsi="Times New Roman" w:cs="Times New Roman"/>
                <w:sz w:val="21"/>
                <w:szCs w:val="21"/>
                <w:lang w:val="en-US" w:eastAsia="zh-CN"/>
              </w:rPr>
              <w:t>远程</w:t>
            </w:r>
            <w:r>
              <w:rPr>
                <w:rFonts w:hint="eastAsia" w:ascii="Times New Roman" w:hAnsi="Times New Roman" w:eastAsia="宋体" w:cs="Times New Roman"/>
                <w:sz w:val="21"/>
                <w:szCs w:val="21"/>
                <w:lang w:val="en-US" w:eastAsia="zh-CN"/>
              </w:rPr>
              <w:t>审核确认有效</w:t>
            </w:r>
            <w:r>
              <w:rPr>
                <w:rFonts w:hint="eastAsia" w:ascii="Times New Roman" w:hAnsi="Times New Roman" w:cs="Times New Roman"/>
                <w:sz w:val="21"/>
                <w:szCs w:val="21"/>
                <w:lang w:val="en-US" w:eastAsia="zh-CN"/>
              </w:rPr>
              <w:t>。</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sz w:val="21"/>
                <w:szCs w:val="21"/>
              </w:rPr>
              <w:t>组织架构及职责分配的适宜性</w:t>
            </w:r>
          </w:p>
        </w:tc>
        <w:tc>
          <w:tcPr>
            <w:tcW w:w="960" w:type="dxa"/>
          </w:tcPr>
          <w:p>
            <w:r>
              <w:rPr>
                <w:sz w:val="21"/>
                <w:szCs w:val="21"/>
              </w:rPr>
              <w:t>QEO</w:t>
            </w:r>
            <w:r>
              <w:rPr>
                <w:rFonts w:hint="eastAsia"/>
                <w:sz w:val="21"/>
                <w:szCs w:val="21"/>
              </w:rPr>
              <w:t xml:space="preserve"> </w:t>
            </w:r>
            <w:r>
              <w:rPr>
                <w:sz w:val="21"/>
                <w:szCs w:val="21"/>
              </w:rPr>
              <w:t>5.3</w:t>
            </w:r>
            <w:r>
              <w:rPr>
                <w:rFonts w:hint="eastAsia"/>
                <w:sz w:val="21"/>
                <w:szCs w:val="21"/>
              </w:rPr>
              <w:t>、5.4</w:t>
            </w:r>
          </w:p>
        </w:tc>
        <w:tc>
          <w:tcPr>
            <w:tcW w:w="10004" w:type="dxa"/>
          </w:tcPr>
          <w:p>
            <w:pPr>
              <w:pStyle w:val="14"/>
              <w:spacing w:line="360" w:lineRule="auto"/>
              <w:rPr>
                <w:rFonts w:ascii="宋体" w:hAnsi="宋体"/>
                <w:sz w:val="21"/>
                <w:szCs w:val="21"/>
              </w:rPr>
            </w:pPr>
            <w:r>
              <w:rPr>
                <w:rFonts w:hint="eastAsia" w:ascii="宋体" w:hAnsi="宋体"/>
                <w:sz w:val="21"/>
                <w:szCs w:val="21"/>
                <w:lang w:val="en-US" w:eastAsia="zh-CN"/>
              </w:rPr>
              <w:t>--</w:t>
            </w:r>
            <w:r>
              <w:rPr>
                <w:rFonts w:hint="eastAsia" w:ascii="宋体" w:hAnsi="宋体"/>
                <w:sz w:val="21"/>
                <w:szCs w:val="21"/>
              </w:rPr>
              <w:t>查“质量、环境、职业健安全管理手册”包括组织机构、职责</w:t>
            </w:r>
            <w:r>
              <w:rPr>
                <w:rFonts w:hint="eastAsia" w:ascii="宋体" w:hAnsi="宋体"/>
                <w:sz w:val="21"/>
                <w:szCs w:val="21"/>
                <w:lang w:val="en-US" w:eastAsia="zh-CN"/>
              </w:rPr>
              <w:t>及</w:t>
            </w:r>
            <w:r>
              <w:rPr>
                <w:rFonts w:hint="eastAsia" w:ascii="宋体" w:hAnsi="宋体"/>
                <w:sz w:val="21"/>
                <w:szCs w:val="21"/>
              </w:rPr>
              <w:t>管理者代表任命书、</w:t>
            </w:r>
            <w:r>
              <w:rPr>
                <w:rFonts w:hint="eastAsia" w:ascii="Times New Roman" w:hAnsi="Times New Roman"/>
                <w:sz w:val="21"/>
                <w:szCs w:val="21"/>
              </w:rPr>
              <w:t>职业健康安全事务</w:t>
            </w:r>
            <w:r>
              <w:rPr>
                <w:rFonts w:hint="eastAsia" w:ascii="宋体" w:hAnsi="宋体"/>
                <w:sz w:val="21"/>
                <w:szCs w:val="21"/>
              </w:rPr>
              <w:t>代表任命书，并规定了其职责，管代和</w:t>
            </w:r>
            <w:r>
              <w:rPr>
                <w:rFonts w:hint="eastAsia" w:ascii="Times New Roman" w:hAnsi="Times New Roman"/>
                <w:sz w:val="21"/>
                <w:szCs w:val="21"/>
              </w:rPr>
              <w:t>职业健康安全事务代表</w:t>
            </w:r>
            <w:r>
              <w:rPr>
                <w:rFonts w:hint="eastAsia" w:ascii="宋体" w:hAnsi="宋体"/>
                <w:sz w:val="21"/>
                <w:szCs w:val="21"/>
              </w:rPr>
              <w:t>口述职责，基本正确。</w:t>
            </w:r>
          </w:p>
          <w:p>
            <w:pPr>
              <w:pStyle w:val="14"/>
              <w:spacing w:line="360" w:lineRule="auto"/>
              <w:ind w:firstLine="420" w:firstLineChars="200"/>
              <w:rPr>
                <w:rFonts w:ascii="宋体" w:hAnsi="宋体"/>
                <w:sz w:val="21"/>
                <w:szCs w:val="21"/>
              </w:rPr>
            </w:pPr>
          </w:p>
          <w:p>
            <w:r>
              <w:rPr>
                <w:rFonts w:hint="eastAsia" w:ascii="宋体" w:hAnsi="宋体"/>
                <w:sz w:val="21"/>
                <w:szCs w:val="21"/>
              </w:rPr>
              <w:t>——</w:t>
            </w:r>
            <w:r>
              <w:rPr>
                <w:rFonts w:hint="eastAsia" w:ascii="宋体" w:hAnsi="宋体"/>
                <w:sz w:val="21"/>
                <w:szCs w:val="21"/>
                <w:lang w:val="en-US" w:eastAsia="zh-CN"/>
              </w:rPr>
              <w:t>年度保持</w:t>
            </w:r>
            <w:r>
              <w:rPr>
                <w:rFonts w:hint="eastAsia" w:ascii="宋体" w:hAnsi="宋体"/>
                <w:sz w:val="21"/>
                <w:szCs w:val="21"/>
              </w:rPr>
              <w:t>基本满足要求。</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sz w:val="21"/>
                <w:szCs w:val="21"/>
              </w:rPr>
            </w:pPr>
            <w:r>
              <w:rPr>
                <w:rFonts w:hint="eastAsia"/>
                <w:sz w:val="21"/>
                <w:szCs w:val="21"/>
              </w:rPr>
              <w:t>组织方针、目标建立的适宜性和实施的</w:t>
            </w:r>
            <w:r>
              <w:rPr>
                <w:rFonts w:hint="eastAsia"/>
                <w:sz w:val="21"/>
                <w:szCs w:val="21"/>
                <w:lang w:val="en-US" w:eastAsia="zh-CN"/>
              </w:rPr>
              <w:t>持续</w:t>
            </w:r>
            <w:r>
              <w:rPr>
                <w:rFonts w:hint="eastAsia"/>
                <w:sz w:val="21"/>
                <w:szCs w:val="21"/>
              </w:rPr>
              <w:t>有效性</w:t>
            </w:r>
          </w:p>
        </w:tc>
        <w:tc>
          <w:tcPr>
            <w:tcW w:w="960" w:type="dxa"/>
          </w:tcPr>
          <w:p>
            <w:pPr>
              <w:rPr>
                <w:rFonts w:hint="eastAsia" w:eastAsia="宋体"/>
                <w:sz w:val="21"/>
                <w:szCs w:val="21"/>
                <w:lang w:val="en-US" w:eastAsia="zh-CN"/>
              </w:rPr>
            </w:pPr>
            <w:r>
              <w:rPr>
                <w:sz w:val="21"/>
                <w:szCs w:val="21"/>
              </w:rPr>
              <w:t>QEO</w:t>
            </w:r>
            <w:r>
              <w:rPr>
                <w:rFonts w:hint="eastAsia"/>
                <w:sz w:val="21"/>
                <w:szCs w:val="21"/>
              </w:rPr>
              <w:t xml:space="preserve"> 5.2、6.</w:t>
            </w:r>
            <w:r>
              <w:rPr>
                <w:rFonts w:hint="eastAsia"/>
                <w:sz w:val="21"/>
                <w:szCs w:val="21"/>
                <w:lang w:val="en-US" w:eastAsia="zh-CN"/>
              </w:rPr>
              <w:t>2</w:t>
            </w:r>
          </w:p>
        </w:tc>
        <w:tc>
          <w:tcPr>
            <w:tcW w:w="10004" w:type="dxa"/>
          </w:tcPr>
          <w:p>
            <w:pPr>
              <w:pStyle w:val="14"/>
              <w:spacing w:line="360" w:lineRule="auto"/>
              <w:rPr>
                <w:rFonts w:ascii="宋体" w:hAnsi="宋体"/>
                <w:sz w:val="21"/>
                <w:szCs w:val="21"/>
              </w:rPr>
            </w:pPr>
            <w:r>
              <w:rPr>
                <w:rFonts w:hint="eastAsia" w:ascii="宋体" w:hAnsi="宋体"/>
                <w:sz w:val="21"/>
                <w:szCs w:val="21"/>
                <w:lang w:val="en-US" w:eastAsia="zh-CN"/>
              </w:rPr>
              <w:t>--</w:t>
            </w:r>
            <w:r>
              <w:rPr>
                <w:rFonts w:hint="eastAsia" w:ascii="宋体" w:hAnsi="宋体"/>
                <w:sz w:val="21"/>
                <w:szCs w:val="21"/>
              </w:rPr>
              <w:t>在管理手册中建立公司的质量、环境和职业健康安全管理方针和目标，基本适宜。</w:t>
            </w:r>
          </w:p>
          <w:p>
            <w:pPr>
              <w:pStyle w:val="14"/>
              <w:spacing w:line="360" w:lineRule="auto"/>
              <w:rPr>
                <w:rFonts w:hint="eastAsia" w:ascii="宋体" w:hAnsi="宋体"/>
                <w:sz w:val="21"/>
                <w:szCs w:val="21"/>
                <w:lang w:eastAsia="zh-CN"/>
              </w:rPr>
            </w:pPr>
            <w:r>
              <w:rPr>
                <w:rFonts w:hint="eastAsia" w:ascii="宋体" w:hAnsi="宋体"/>
                <w:sz w:val="21"/>
                <w:szCs w:val="21"/>
                <w:lang w:val="en-US" w:eastAsia="zh-CN"/>
              </w:rPr>
              <w:t>--</w:t>
            </w:r>
            <w:r>
              <w:rPr>
                <w:rFonts w:hint="eastAsia" w:ascii="宋体" w:hAnsi="宋体"/>
                <w:sz w:val="21"/>
                <w:szCs w:val="21"/>
              </w:rPr>
              <w:t>ＱＥＳ方针与公司战略相适宜。</w:t>
            </w:r>
            <w:r>
              <w:rPr>
                <w:rFonts w:hint="eastAsia" w:ascii="宋体" w:hAnsi="宋体"/>
                <w:sz w:val="21"/>
                <w:szCs w:val="21"/>
                <w:lang w:eastAsia="zh-CN"/>
              </w:rPr>
              <w:t>——遵守法律法规，以人为本，持续改进，确保体系有效；以顾客为中心，保护环境， 预防事故，创建满意工程。</w:t>
            </w:r>
          </w:p>
          <w:p>
            <w:pPr>
              <w:pStyle w:val="14"/>
              <w:spacing w:line="360" w:lineRule="auto"/>
              <w:rPr>
                <w:rFonts w:hint="eastAsia" w:ascii="宋体" w:hAnsi="宋体"/>
                <w:sz w:val="21"/>
                <w:szCs w:val="21"/>
              </w:rPr>
            </w:pPr>
            <w:r>
              <w:rPr>
                <w:rFonts w:hint="eastAsia" w:ascii="宋体" w:hAnsi="宋体"/>
                <w:sz w:val="21"/>
                <w:szCs w:val="21"/>
                <w:lang w:val="en-US" w:eastAsia="zh-CN"/>
              </w:rPr>
              <w:t>--</w:t>
            </w:r>
            <w:r>
              <w:rPr>
                <w:rFonts w:hint="eastAsia" w:ascii="宋体" w:hAnsi="宋体"/>
                <w:sz w:val="21"/>
                <w:szCs w:val="21"/>
              </w:rPr>
              <w:t>目标可测量。</w:t>
            </w:r>
          </w:p>
          <w:p>
            <w:pPr>
              <w:pStyle w:val="14"/>
              <w:spacing w:line="360" w:lineRule="auto"/>
              <w:rPr>
                <w:rFonts w:hint="eastAsia" w:ascii="宋体" w:hAnsi="宋体"/>
                <w:sz w:val="21"/>
                <w:szCs w:val="21"/>
                <w:lang w:eastAsia="zh-CN"/>
              </w:rPr>
            </w:pPr>
            <w:r>
              <w:rPr>
                <w:rFonts w:hint="eastAsia" w:ascii="宋体" w:hAnsi="宋体"/>
                <w:sz w:val="21"/>
                <w:szCs w:val="21"/>
                <w:lang w:eastAsia="zh-CN"/>
              </w:rPr>
              <w:t>1.项目质量合格率：98%以上；</w:t>
            </w:r>
          </w:p>
          <w:p>
            <w:pPr>
              <w:pStyle w:val="14"/>
              <w:spacing w:line="360" w:lineRule="auto"/>
              <w:rPr>
                <w:rFonts w:hint="eastAsia" w:ascii="宋体" w:hAnsi="宋体"/>
                <w:sz w:val="21"/>
                <w:szCs w:val="21"/>
                <w:lang w:eastAsia="zh-CN"/>
              </w:rPr>
            </w:pPr>
            <w:r>
              <w:rPr>
                <w:rFonts w:hint="eastAsia" w:ascii="宋体" w:hAnsi="宋体"/>
                <w:sz w:val="21"/>
                <w:szCs w:val="21"/>
                <w:lang w:eastAsia="zh-CN"/>
              </w:rPr>
              <w:t>2.顾客满意程度：95%以上；</w:t>
            </w:r>
          </w:p>
          <w:p>
            <w:pPr>
              <w:pStyle w:val="14"/>
              <w:spacing w:line="360" w:lineRule="auto"/>
              <w:rPr>
                <w:rFonts w:hint="eastAsia" w:ascii="宋体" w:hAnsi="宋体"/>
                <w:sz w:val="21"/>
                <w:szCs w:val="21"/>
                <w:lang w:eastAsia="zh-CN"/>
              </w:rPr>
            </w:pPr>
            <w:r>
              <w:rPr>
                <w:rFonts w:hint="eastAsia" w:ascii="宋体" w:hAnsi="宋体"/>
                <w:sz w:val="21"/>
                <w:szCs w:val="21"/>
                <w:lang w:eastAsia="zh-CN"/>
              </w:rPr>
              <w:t>3.固体废弃物分类处理率100%；</w:t>
            </w:r>
          </w:p>
          <w:p>
            <w:pPr>
              <w:pStyle w:val="14"/>
              <w:spacing w:line="360" w:lineRule="auto"/>
              <w:rPr>
                <w:rFonts w:hint="eastAsia" w:ascii="宋体" w:hAnsi="宋体"/>
                <w:sz w:val="21"/>
                <w:szCs w:val="21"/>
                <w:lang w:eastAsia="zh-CN"/>
              </w:rPr>
            </w:pPr>
            <w:r>
              <w:rPr>
                <w:rFonts w:hint="eastAsia" w:ascii="宋体" w:hAnsi="宋体"/>
                <w:sz w:val="21"/>
                <w:szCs w:val="21"/>
                <w:lang w:eastAsia="zh-CN"/>
              </w:rPr>
              <w:t>4.环境污染事故发生率0；</w:t>
            </w:r>
          </w:p>
          <w:p>
            <w:pPr>
              <w:pStyle w:val="14"/>
              <w:spacing w:line="360" w:lineRule="auto"/>
              <w:rPr>
                <w:rFonts w:hint="eastAsia" w:ascii="宋体" w:hAnsi="宋体"/>
                <w:sz w:val="21"/>
                <w:szCs w:val="21"/>
                <w:lang w:eastAsia="zh-CN"/>
              </w:rPr>
            </w:pPr>
            <w:r>
              <w:rPr>
                <w:rFonts w:hint="eastAsia" w:ascii="宋体" w:hAnsi="宋体"/>
                <w:sz w:val="21"/>
                <w:szCs w:val="21"/>
                <w:lang w:eastAsia="zh-CN"/>
              </w:rPr>
              <w:t>5.火灾发生率0 ；</w:t>
            </w:r>
          </w:p>
          <w:p>
            <w:pPr>
              <w:pStyle w:val="14"/>
              <w:spacing w:line="360" w:lineRule="auto"/>
              <w:rPr>
                <w:rFonts w:hint="eastAsia" w:ascii="宋体" w:hAnsi="宋体" w:eastAsia="宋体"/>
                <w:sz w:val="21"/>
                <w:szCs w:val="21"/>
                <w:lang w:eastAsia="zh-CN"/>
              </w:rPr>
            </w:pPr>
            <w:r>
              <w:rPr>
                <w:rFonts w:hint="eastAsia" w:ascii="宋体" w:hAnsi="宋体"/>
                <w:sz w:val="21"/>
                <w:szCs w:val="21"/>
                <w:lang w:eastAsia="zh-CN"/>
              </w:rPr>
              <w:t>6.无重大安全事件发生。</w:t>
            </w:r>
          </w:p>
          <w:p>
            <w:pPr>
              <w:pStyle w:val="14"/>
              <w:spacing w:line="360" w:lineRule="auto"/>
              <w:rPr>
                <w:rFonts w:ascii="宋体" w:hAnsi="宋体"/>
                <w:sz w:val="21"/>
                <w:szCs w:val="21"/>
              </w:rPr>
            </w:pPr>
            <w:r>
              <w:rPr>
                <w:rFonts w:hint="eastAsia" w:ascii="宋体" w:hAnsi="宋体"/>
                <w:sz w:val="21"/>
                <w:szCs w:val="21"/>
                <w:lang w:val="en-US" w:eastAsia="zh-CN"/>
              </w:rPr>
              <w:t>--</w:t>
            </w:r>
            <w:r>
              <w:rPr>
                <w:rFonts w:hint="eastAsia" w:ascii="宋体" w:hAnsi="宋体"/>
                <w:sz w:val="21"/>
                <w:szCs w:val="21"/>
              </w:rPr>
              <w:t>通过发放文件、会议（每周部门会议，每月公司会议）、培训等方式向员工传达，使得员工理解和应用。</w:t>
            </w:r>
          </w:p>
          <w:p>
            <w:pPr>
              <w:pStyle w:val="14"/>
              <w:spacing w:line="360" w:lineRule="auto"/>
              <w:rPr>
                <w:rFonts w:ascii="宋体" w:hAnsi="宋体"/>
                <w:sz w:val="21"/>
                <w:szCs w:val="21"/>
              </w:rPr>
            </w:pPr>
            <w:r>
              <w:rPr>
                <w:rFonts w:hint="eastAsia" w:ascii="宋体" w:hAnsi="宋体"/>
                <w:sz w:val="21"/>
                <w:szCs w:val="21"/>
                <w:lang w:val="en-US" w:eastAsia="zh-CN"/>
              </w:rPr>
              <w:t>--</w:t>
            </w:r>
            <w:r>
              <w:rPr>
                <w:rFonts w:hint="eastAsia" w:ascii="宋体" w:hAnsi="宋体"/>
                <w:sz w:val="21"/>
                <w:szCs w:val="21"/>
              </w:rPr>
              <w:t>建立管理体系，以实现公司的目标。</w:t>
            </w:r>
          </w:p>
          <w:p>
            <w:pPr>
              <w:pStyle w:val="14"/>
              <w:spacing w:line="360" w:lineRule="auto"/>
              <w:rPr>
                <w:rFonts w:ascii="宋体" w:hAnsi="宋体"/>
                <w:sz w:val="21"/>
                <w:szCs w:val="21"/>
              </w:rPr>
            </w:pPr>
            <w:r>
              <w:rPr>
                <w:rFonts w:hint="eastAsia" w:ascii="宋体" w:hAnsi="宋体"/>
                <w:sz w:val="21"/>
                <w:szCs w:val="21"/>
                <w:lang w:val="en-US" w:eastAsia="zh-CN"/>
              </w:rPr>
              <w:t>--</w:t>
            </w:r>
            <w:r>
              <w:rPr>
                <w:rFonts w:hint="eastAsia" w:ascii="宋体" w:hAnsi="宋体"/>
                <w:sz w:val="21"/>
                <w:szCs w:val="21"/>
              </w:rPr>
              <w:t>管理评审中对适宜性进行评审。</w:t>
            </w:r>
          </w:p>
          <w:p>
            <w:r>
              <w:rPr>
                <w:rFonts w:hint="eastAsia" w:ascii="宋体" w:hAnsi="宋体"/>
                <w:sz w:val="21"/>
                <w:szCs w:val="21"/>
              </w:rPr>
              <w:t>——</w:t>
            </w:r>
            <w:r>
              <w:rPr>
                <w:rFonts w:hint="eastAsia" w:ascii="宋体" w:hAnsi="宋体"/>
                <w:sz w:val="21"/>
                <w:szCs w:val="21"/>
                <w:lang w:val="en-US" w:eastAsia="zh-CN"/>
              </w:rPr>
              <w:t>年度保持</w:t>
            </w:r>
            <w:r>
              <w:rPr>
                <w:rFonts w:hint="eastAsia" w:ascii="宋体" w:hAnsi="宋体"/>
                <w:sz w:val="21"/>
                <w:szCs w:val="21"/>
              </w:rPr>
              <w:t>满足要求。</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sz w:val="21"/>
                <w:szCs w:val="21"/>
              </w:rPr>
            </w:pPr>
            <w:r>
              <w:rPr>
                <w:rFonts w:hint="eastAsia"/>
                <w:sz w:val="21"/>
                <w:szCs w:val="21"/>
                <w:lang w:val="en-US" w:eastAsia="zh-CN"/>
              </w:rPr>
              <w:t>变更的控制</w:t>
            </w:r>
          </w:p>
        </w:tc>
        <w:tc>
          <w:tcPr>
            <w:tcW w:w="960" w:type="dxa"/>
          </w:tcPr>
          <w:p>
            <w:pPr>
              <w:rPr>
                <w:sz w:val="21"/>
                <w:szCs w:val="21"/>
              </w:rPr>
            </w:pPr>
            <w:r>
              <w:rPr>
                <w:rFonts w:hint="eastAsia"/>
                <w:sz w:val="21"/>
                <w:szCs w:val="21"/>
                <w:lang w:val="en-US" w:eastAsia="zh-CN"/>
              </w:rPr>
              <w:t>Q6.3</w:t>
            </w:r>
          </w:p>
        </w:tc>
        <w:tc>
          <w:tcPr>
            <w:tcW w:w="10004" w:type="dxa"/>
          </w:tcPr>
          <w:p>
            <w:r>
              <w:rPr>
                <w:rFonts w:hint="eastAsia" w:ascii="宋体" w:hAnsi="宋体"/>
                <w:sz w:val="21"/>
                <w:szCs w:val="21"/>
                <w:lang w:val="en-US" w:eastAsia="zh-CN"/>
              </w:rPr>
              <w:t>--领导说明，管理体系年度内未发生变化。</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sz w:val="21"/>
                <w:szCs w:val="21"/>
                <w:lang w:val="en-US" w:eastAsia="zh-CN"/>
              </w:rPr>
            </w:pPr>
            <w:r>
              <w:rPr>
                <w:rFonts w:hint="eastAsia" w:ascii="宋体" w:hAnsi="宋体" w:eastAsia="宋体" w:cs="Arial"/>
                <w:sz w:val="21"/>
                <w:szCs w:val="21"/>
              </w:rPr>
              <w:t>组织的知识</w:t>
            </w:r>
          </w:p>
        </w:tc>
        <w:tc>
          <w:tcPr>
            <w:tcW w:w="960" w:type="dxa"/>
          </w:tcPr>
          <w:p>
            <w:pPr>
              <w:rPr>
                <w:rFonts w:hint="default"/>
                <w:sz w:val="21"/>
                <w:szCs w:val="21"/>
                <w:lang w:val="en-US" w:eastAsia="zh-CN"/>
              </w:rPr>
            </w:pPr>
            <w:r>
              <w:rPr>
                <w:rFonts w:hint="eastAsia"/>
                <w:sz w:val="21"/>
                <w:szCs w:val="21"/>
                <w:lang w:val="en-US" w:eastAsia="zh-CN"/>
              </w:rPr>
              <w:t>Q</w:t>
            </w:r>
            <w:r>
              <w:rPr>
                <w:rFonts w:hint="eastAsia" w:ascii="宋体" w:hAnsi="宋体" w:eastAsia="宋体" w:cs="Arial"/>
                <w:sz w:val="21"/>
                <w:szCs w:val="21"/>
              </w:rPr>
              <w:t>7.1.6</w:t>
            </w:r>
          </w:p>
        </w:tc>
        <w:tc>
          <w:tcPr>
            <w:tcW w:w="10004" w:type="dxa"/>
          </w:tcPr>
          <w:p>
            <w:pPr>
              <w:pStyle w:val="14"/>
              <w:spacing w:line="360" w:lineRule="auto"/>
              <w:rPr>
                <w:rFonts w:hint="eastAsia" w:ascii="宋体" w:hAnsi="宋体"/>
                <w:sz w:val="21"/>
                <w:szCs w:val="21"/>
                <w:lang w:eastAsia="zh-CN"/>
              </w:rPr>
            </w:pPr>
            <w:r>
              <w:rPr>
                <w:rFonts w:hint="eastAsia" w:ascii="宋体" w:hAnsi="宋体"/>
                <w:sz w:val="21"/>
                <w:szCs w:val="21"/>
                <w:lang w:eastAsia="zh-CN"/>
              </w:rPr>
              <w:t xml:space="preserve">（1）综合部负责知识管理，包括组织知识的识别、收集、组织、共享、应用、推进、创新等方式管理。  </w:t>
            </w:r>
          </w:p>
          <w:p>
            <w:pPr>
              <w:pStyle w:val="14"/>
              <w:spacing w:line="360" w:lineRule="auto"/>
              <w:rPr>
                <w:rFonts w:hint="eastAsia" w:ascii="宋体" w:hAnsi="宋体"/>
                <w:sz w:val="21"/>
                <w:szCs w:val="21"/>
                <w:lang w:eastAsia="zh-CN"/>
              </w:rPr>
            </w:pPr>
            <w:r>
              <w:rPr>
                <w:rFonts w:hint="eastAsia" w:ascii="宋体" w:hAnsi="宋体"/>
                <w:sz w:val="21"/>
                <w:szCs w:val="21"/>
                <w:lang w:eastAsia="zh-CN"/>
              </w:rPr>
              <w:t xml:space="preserve">（2）公司知识包括与体系运行、过程操作、产品和服务符合性及顾客满意所需的知识、知识产权和经验总结等信息;对组织知识应得到保持、保护，需要时便于获取。  </w:t>
            </w:r>
          </w:p>
          <w:p>
            <w:pPr>
              <w:pStyle w:val="14"/>
              <w:spacing w:line="360" w:lineRule="auto"/>
              <w:rPr>
                <w:rFonts w:hint="eastAsia" w:ascii="宋体" w:hAnsi="宋体"/>
                <w:sz w:val="21"/>
                <w:szCs w:val="21"/>
                <w:lang w:eastAsia="zh-CN"/>
              </w:rPr>
            </w:pPr>
            <w:r>
              <w:rPr>
                <w:rFonts w:hint="eastAsia" w:ascii="宋体" w:hAnsi="宋体"/>
                <w:sz w:val="21"/>
                <w:szCs w:val="21"/>
                <w:lang w:eastAsia="zh-CN"/>
              </w:rPr>
              <w:t xml:space="preserve">（3）公司知识包括外部知识资源和内部知识资源两方面，     </w:t>
            </w:r>
          </w:p>
          <w:p>
            <w:pPr>
              <w:pStyle w:val="14"/>
              <w:spacing w:line="360" w:lineRule="auto"/>
              <w:rPr>
                <w:rFonts w:hint="eastAsia" w:ascii="宋体" w:hAnsi="宋体"/>
                <w:sz w:val="21"/>
                <w:szCs w:val="21"/>
                <w:lang w:eastAsia="zh-CN"/>
              </w:rPr>
            </w:pPr>
            <w:r>
              <w:rPr>
                <w:rFonts w:hint="eastAsia" w:ascii="宋体" w:hAnsi="宋体"/>
                <w:sz w:val="21"/>
                <w:szCs w:val="21"/>
                <w:lang w:eastAsia="zh-CN"/>
              </w:rPr>
              <w:t xml:space="preserve">a）内部来源（如知识产权；从经历获得的知识；从失败和成功项目得到的经验教训；获取和分享未形成文件的知识和经验；过程、产品和服务的改进结果）；    </w:t>
            </w:r>
          </w:p>
          <w:p>
            <w:pPr>
              <w:pStyle w:val="14"/>
              <w:spacing w:line="360" w:lineRule="auto"/>
            </w:pPr>
            <w:r>
              <w:rPr>
                <w:rFonts w:hint="eastAsia" w:ascii="宋体" w:hAnsi="宋体"/>
                <w:sz w:val="21"/>
                <w:szCs w:val="21"/>
                <w:lang w:eastAsia="zh-CN"/>
              </w:rPr>
              <w:t xml:space="preserve">b）外部来源（如标准；学术交流；专业会议；从顾客或外部供方收集的知识） </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ascii="宋体" w:hAnsi="宋体" w:eastAsia="宋体" w:cs="Arial"/>
                <w:sz w:val="21"/>
                <w:szCs w:val="21"/>
              </w:rPr>
            </w:pPr>
            <w:r>
              <w:rPr>
                <w:rFonts w:hint="eastAsia" w:ascii="宋体" w:hAnsi="宋体"/>
                <w:sz w:val="21"/>
                <w:szCs w:val="21"/>
              </w:rPr>
              <w:t>管理评审的实施及作用</w:t>
            </w:r>
          </w:p>
        </w:tc>
        <w:tc>
          <w:tcPr>
            <w:tcW w:w="960" w:type="dxa"/>
          </w:tcPr>
          <w:p>
            <w:pPr>
              <w:rPr>
                <w:rFonts w:hint="eastAsia"/>
                <w:sz w:val="21"/>
                <w:szCs w:val="21"/>
                <w:lang w:val="en-US" w:eastAsia="zh-CN"/>
              </w:rPr>
            </w:pPr>
            <w:r>
              <w:rPr>
                <w:sz w:val="21"/>
                <w:szCs w:val="21"/>
              </w:rPr>
              <w:t>QES9.3</w:t>
            </w:r>
          </w:p>
        </w:tc>
        <w:tc>
          <w:tcPr>
            <w:tcW w:w="10004" w:type="dxa"/>
          </w:tcPr>
          <w:p>
            <w:pPr>
              <w:pStyle w:val="14"/>
              <w:spacing w:line="360" w:lineRule="auto"/>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--制订有《</w:t>
            </w:r>
            <w:r>
              <w:rPr>
                <w:rFonts w:hint="eastAsia" w:ascii="宋体" w:hAnsi="宋体" w:cs="宋体"/>
                <w:sz w:val="21"/>
                <w:szCs w:val="21"/>
              </w:rPr>
              <w:t>管理评审控制程序</w:t>
            </w:r>
            <w:r>
              <w:rPr>
                <w:rFonts w:hint="eastAsia" w:ascii="宋体" w:hAnsi="宋体" w:cs="宋体"/>
                <w:sz w:val="21"/>
                <w:szCs w:val="21"/>
                <w:lang w:eastAsia="zh-CN"/>
              </w:rPr>
              <w:t>》，</w:t>
            </w:r>
            <w:r>
              <w:rPr>
                <w:rFonts w:hint="eastAsia" w:ascii="宋体" w:hAnsi="宋体" w:cs="宋体"/>
                <w:sz w:val="21"/>
                <w:szCs w:val="21"/>
                <w:lang w:val="en-US" w:eastAsia="zh-CN"/>
              </w:rPr>
              <w:t>对管评过程进行控制。</w:t>
            </w:r>
          </w:p>
          <w:p>
            <w:pPr>
              <w:pStyle w:val="14"/>
              <w:spacing w:line="360" w:lineRule="auto"/>
              <w:ind w:firstLine="420" w:firstLineChars="200"/>
              <w:rPr>
                <w:rFonts w:ascii="Times New Roman" w:hAnsi="Times New Roman"/>
                <w:sz w:val="21"/>
                <w:szCs w:val="21"/>
              </w:rPr>
            </w:pPr>
            <w:r>
              <w:rPr>
                <w:rFonts w:hint="eastAsia" w:ascii="Times New Roman" w:hAnsi="Times New Roman"/>
                <w:sz w:val="21"/>
                <w:szCs w:val="21"/>
              </w:rPr>
              <w:t>公司在2</w:t>
            </w:r>
            <w:r>
              <w:rPr>
                <w:rFonts w:ascii="Times New Roman" w:hAnsi="Times New Roman"/>
                <w:sz w:val="21"/>
                <w:szCs w:val="21"/>
              </w:rPr>
              <w:t>021.</w:t>
            </w:r>
            <w:r>
              <w:rPr>
                <w:rFonts w:hint="eastAsia" w:ascii="Times New Roman" w:hAnsi="Times New Roman"/>
                <w:sz w:val="21"/>
                <w:szCs w:val="21"/>
                <w:lang w:val="en-US" w:eastAsia="zh-CN"/>
              </w:rPr>
              <w:t>11.20</w:t>
            </w:r>
            <w:r>
              <w:rPr>
                <w:rFonts w:ascii="Times New Roman" w:hAnsi="Times New Roman"/>
                <w:sz w:val="21"/>
                <w:szCs w:val="21"/>
              </w:rPr>
              <w:t>.</w:t>
            </w:r>
            <w:r>
              <w:rPr>
                <w:rFonts w:hint="eastAsia" w:ascii="Times New Roman" w:hAnsi="Times New Roman"/>
                <w:sz w:val="21"/>
                <w:szCs w:val="21"/>
              </w:rPr>
              <w:t>进行了管理评审活动，所有职能部门参与，提供了手写的签到表；主要的输入：</w:t>
            </w:r>
          </w:p>
          <w:p>
            <w:pPr>
              <w:pStyle w:val="14"/>
              <w:spacing w:line="360" w:lineRule="auto"/>
              <w:ind w:firstLine="420" w:firstLineChars="200"/>
              <w:rPr>
                <w:rFonts w:hint="eastAsia" w:ascii="Times New Roman" w:hAnsi="Times New Roman"/>
                <w:sz w:val="21"/>
                <w:szCs w:val="21"/>
              </w:rPr>
            </w:pPr>
            <w:r>
              <w:rPr>
                <w:rFonts w:hint="eastAsia" w:ascii="Times New Roman" w:hAnsi="Times New Roman"/>
                <w:sz w:val="21"/>
                <w:szCs w:val="21"/>
              </w:rPr>
              <w:t>1、内部审核情况；</w:t>
            </w:r>
          </w:p>
          <w:p>
            <w:pPr>
              <w:pStyle w:val="14"/>
              <w:spacing w:line="360" w:lineRule="auto"/>
              <w:ind w:firstLine="420" w:firstLineChars="200"/>
              <w:rPr>
                <w:rFonts w:hint="eastAsia" w:ascii="Times New Roman" w:hAnsi="Times New Roman"/>
                <w:sz w:val="21"/>
                <w:szCs w:val="21"/>
              </w:rPr>
            </w:pPr>
            <w:r>
              <w:rPr>
                <w:rFonts w:hint="eastAsia" w:ascii="Times New Roman" w:hAnsi="Times New Roman"/>
                <w:sz w:val="21"/>
                <w:szCs w:val="21"/>
              </w:rPr>
              <w:t>2、质量方针适宜性及质量目标达成情况；</w:t>
            </w:r>
          </w:p>
          <w:p>
            <w:pPr>
              <w:pStyle w:val="14"/>
              <w:spacing w:line="360" w:lineRule="auto"/>
              <w:ind w:firstLine="420" w:firstLineChars="200"/>
              <w:rPr>
                <w:rFonts w:hint="eastAsia" w:ascii="Times New Roman" w:hAnsi="Times New Roman"/>
                <w:sz w:val="21"/>
                <w:szCs w:val="21"/>
              </w:rPr>
            </w:pPr>
            <w:r>
              <w:rPr>
                <w:rFonts w:hint="eastAsia" w:ascii="Times New Roman" w:hAnsi="Times New Roman"/>
                <w:sz w:val="21"/>
                <w:szCs w:val="21"/>
              </w:rPr>
              <w:t>3、顾客投诉及处理、客户满意度调查情况；</w:t>
            </w:r>
          </w:p>
          <w:p>
            <w:pPr>
              <w:pStyle w:val="14"/>
              <w:spacing w:line="360" w:lineRule="auto"/>
              <w:ind w:firstLine="420" w:firstLineChars="200"/>
              <w:rPr>
                <w:rFonts w:hint="eastAsia" w:ascii="Times New Roman" w:hAnsi="Times New Roman"/>
                <w:sz w:val="21"/>
                <w:szCs w:val="21"/>
              </w:rPr>
            </w:pPr>
            <w:r>
              <w:rPr>
                <w:rFonts w:hint="eastAsia" w:ascii="Times New Roman" w:hAnsi="Times New Roman"/>
                <w:sz w:val="21"/>
                <w:szCs w:val="21"/>
              </w:rPr>
              <w:t>4、产品质量状况及过程业绩；</w:t>
            </w:r>
          </w:p>
          <w:p>
            <w:pPr>
              <w:pStyle w:val="14"/>
              <w:spacing w:line="360" w:lineRule="auto"/>
              <w:ind w:firstLine="420" w:firstLineChars="200"/>
              <w:rPr>
                <w:rFonts w:hint="eastAsia" w:ascii="Times New Roman" w:hAnsi="Times New Roman"/>
                <w:sz w:val="21"/>
                <w:szCs w:val="21"/>
              </w:rPr>
            </w:pPr>
            <w:r>
              <w:rPr>
                <w:rFonts w:hint="eastAsia" w:ascii="Times New Roman" w:hAnsi="Times New Roman"/>
                <w:sz w:val="21"/>
                <w:szCs w:val="21"/>
              </w:rPr>
              <w:t>5、预防及纠正措施实施情况及效果性；</w:t>
            </w:r>
          </w:p>
          <w:p>
            <w:pPr>
              <w:pStyle w:val="14"/>
              <w:spacing w:line="360" w:lineRule="auto"/>
              <w:ind w:firstLine="420" w:firstLineChars="200"/>
              <w:rPr>
                <w:rFonts w:hint="eastAsia" w:ascii="Times New Roman" w:hAnsi="Times New Roman"/>
                <w:sz w:val="21"/>
                <w:szCs w:val="21"/>
              </w:rPr>
            </w:pPr>
            <w:r>
              <w:rPr>
                <w:rFonts w:hint="eastAsia" w:ascii="Times New Roman" w:hAnsi="Times New Roman"/>
                <w:sz w:val="21"/>
                <w:szCs w:val="21"/>
              </w:rPr>
              <w:t>6、以往管理评审的跟踪措施；</w:t>
            </w:r>
          </w:p>
          <w:p>
            <w:pPr>
              <w:pStyle w:val="14"/>
              <w:spacing w:line="360" w:lineRule="auto"/>
              <w:ind w:firstLine="420" w:firstLineChars="200"/>
              <w:rPr>
                <w:rFonts w:hint="eastAsia" w:ascii="Times New Roman" w:hAnsi="Times New Roman"/>
                <w:sz w:val="21"/>
                <w:szCs w:val="21"/>
              </w:rPr>
            </w:pPr>
            <w:r>
              <w:rPr>
                <w:rFonts w:hint="eastAsia" w:ascii="Times New Roman" w:hAnsi="Times New Roman"/>
                <w:sz w:val="21"/>
                <w:szCs w:val="21"/>
              </w:rPr>
              <w:t>7、体系的变更及改进的建议等。</w:t>
            </w:r>
          </w:p>
          <w:p>
            <w:pPr>
              <w:pStyle w:val="14"/>
              <w:spacing w:line="360" w:lineRule="auto"/>
              <w:ind w:firstLine="420" w:firstLineChars="200"/>
              <w:rPr>
                <w:rFonts w:hint="eastAsia" w:ascii="Times New Roman" w:hAnsi="Times New Roman"/>
                <w:sz w:val="21"/>
                <w:szCs w:val="21"/>
              </w:rPr>
            </w:pPr>
            <w:r>
              <w:rPr>
                <w:rFonts w:hint="eastAsia" w:ascii="Times New Roman" w:hAnsi="Times New Roman"/>
                <w:sz w:val="21"/>
                <w:szCs w:val="21"/>
              </w:rPr>
              <w:t>8、资源的充分性。</w:t>
            </w:r>
          </w:p>
          <w:p>
            <w:pPr>
              <w:pStyle w:val="14"/>
              <w:spacing w:line="360" w:lineRule="auto"/>
              <w:ind w:firstLine="420" w:firstLineChars="200"/>
              <w:rPr>
                <w:rFonts w:hint="eastAsia" w:ascii="Times New Roman" w:hAnsi="Times New Roman"/>
                <w:sz w:val="21"/>
                <w:szCs w:val="21"/>
              </w:rPr>
            </w:pPr>
            <w:r>
              <w:rPr>
                <w:rFonts w:hint="eastAsia" w:ascii="Times New Roman" w:hAnsi="Times New Roman"/>
                <w:sz w:val="21"/>
                <w:szCs w:val="21"/>
              </w:rPr>
              <w:t>9、风险和机遇措施的有效性。</w:t>
            </w:r>
          </w:p>
          <w:p>
            <w:pPr>
              <w:pStyle w:val="14"/>
              <w:spacing w:line="360" w:lineRule="auto"/>
              <w:ind w:firstLine="420" w:firstLineChars="200"/>
              <w:rPr>
                <w:rFonts w:hint="eastAsia" w:ascii="Times New Roman" w:hAnsi="Times New Roman"/>
                <w:sz w:val="21"/>
                <w:szCs w:val="21"/>
              </w:rPr>
            </w:pPr>
            <w:r>
              <w:rPr>
                <w:rFonts w:hint="eastAsia" w:ascii="Times New Roman" w:hAnsi="Times New Roman"/>
                <w:sz w:val="21"/>
                <w:szCs w:val="21"/>
              </w:rPr>
              <w:t>10、企业内外部环境变化影响。</w:t>
            </w:r>
          </w:p>
          <w:p>
            <w:pPr>
              <w:pStyle w:val="14"/>
              <w:spacing w:line="360" w:lineRule="auto"/>
              <w:ind w:firstLine="420" w:firstLineChars="200"/>
              <w:rPr>
                <w:rFonts w:hint="eastAsia" w:ascii="Times New Roman" w:hAnsi="Times New Roman"/>
                <w:sz w:val="21"/>
                <w:szCs w:val="21"/>
              </w:rPr>
            </w:pPr>
            <w:r>
              <w:rPr>
                <w:rFonts w:hint="eastAsia" w:ascii="Times New Roman" w:hAnsi="Times New Roman"/>
                <w:sz w:val="21"/>
                <w:szCs w:val="21"/>
              </w:rPr>
              <w:t>11、《环境运行情况报告》（包括相关沟通信息、客户抱怨情况）</w:t>
            </w:r>
          </w:p>
          <w:p>
            <w:pPr>
              <w:pStyle w:val="14"/>
              <w:spacing w:line="360" w:lineRule="auto"/>
              <w:ind w:firstLine="420" w:firstLineChars="200"/>
              <w:rPr>
                <w:rFonts w:hint="eastAsia" w:ascii="Times New Roman" w:hAnsi="Times New Roman"/>
                <w:sz w:val="21"/>
                <w:szCs w:val="21"/>
              </w:rPr>
            </w:pPr>
            <w:r>
              <w:rPr>
                <w:rFonts w:hint="eastAsia" w:ascii="Times New Roman" w:hAnsi="Times New Roman"/>
                <w:sz w:val="21"/>
                <w:szCs w:val="21"/>
              </w:rPr>
              <w:t>12、《职业健康安全运行情况报告》（包括相关沟通信息、投诉及协商结果）</w:t>
            </w:r>
          </w:p>
          <w:p>
            <w:pPr>
              <w:pStyle w:val="14"/>
              <w:spacing w:line="360" w:lineRule="auto"/>
              <w:ind w:firstLine="420" w:firstLineChars="200"/>
              <w:rPr>
                <w:rFonts w:ascii="Times New Roman" w:hAnsi="Times New Roman"/>
                <w:sz w:val="21"/>
                <w:szCs w:val="21"/>
              </w:rPr>
            </w:pPr>
            <w:r>
              <w:rPr>
                <w:rFonts w:hint="eastAsia" w:ascii="Times New Roman" w:hAnsi="Times New Roman"/>
                <w:sz w:val="21"/>
                <w:szCs w:val="21"/>
              </w:rPr>
              <w:t>13、总经理根据以上汇报做了总结性发言，提出了自体系运行以来取得的成绩和存在的不足，并且提出了改进措施。</w:t>
            </w:r>
          </w:p>
          <w:p>
            <w:pPr>
              <w:pStyle w:val="14"/>
              <w:spacing w:line="360" w:lineRule="auto"/>
              <w:ind w:firstLine="420" w:firstLineChars="200"/>
              <w:rPr>
                <w:rFonts w:ascii="Times New Roman" w:hAnsi="Times New Roman"/>
                <w:sz w:val="21"/>
                <w:szCs w:val="21"/>
              </w:rPr>
            </w:pPr>
            <w:r>
              <w:rPr>
                <w:rFonts w:hint="eastAsia" w:ascii="Times New Roman" w:hAnsi="Times New Roman"/>
                <w:sz w:val="21"/>
                <w:szCs w:val="21"/>
              </w:rPr>
              <w:t>管理评审策划和实施的时间、覆盖的范围、输入、输出均符合规定要求；</w:t>
            </w:r>
          </w:p>
          <w:p>
            <w:pPr>
              <w:pStyle w:val="14"/>
              <w:spacing w:line="360" w:lineRule="auto"/>
              <w:ind w:firstLine="420" w:firstLineChars="200"/>
              <w:rPr>
                <w:rFonts w:hint="eastAsia" w:ascii="Times New Roman" w:hAnsi="Times New Roman"/>
                <w:sz w:val="21"/>
                <w:szCs w:val="21"/>
              </w:rPr>
            </w:pPr>
            <w:r>
              <w:rPr>
                <w:rFonts w:hint="eastAsia" w:ascii="Times New Roman" w:hAnsi="Times New Roman"/>
                <w:sz w:val="21"/>
                <w:szCs w:val="21"/>
              </w:rPr>
              <w:t>管理评审报告的结论为：</w:t>
            </w:r>
          </w:p>
          <w:p>
            <w:pPr>
              <w:pStyle w:val="14"/>
              <w:spacing w:line="360" w:lineRule="auto"/>
              <w:ind w:firstLine="420" w:firstLineChars="200"/>
              <w:rPr>
                <w:rFonts w:hint="eastAsia" w:ascii="Times New Roman" w:hAnsi="Times New Roman"/>
                <w:sz w:val="21"/>
                <w:szCs w:val="21"/>
              </w:rPr>
            </w:pPr>
            <w:r>
              <w:rPr>
                <w:rFonts w:hint="eastAsia" w:ascii="Times New Roman" w:hAnsi="Times New Roman"/>
                <w:sz w:val="21"/>
                <w:szCs w:val="21"/>
              </w:rPr>
              <w:t>此次管理评审结论总体是有效的,公司质量、环境、职业健康安全管理体系、资源提供、产品符合性均充分、适宜、有效，暂时不需要对体系进行任何变更。相关方对公司的质量/环境/职业健康安全管理无投诉/抱怨，公司将加大管理</w:t>
            </w:r>
          </w:p>
          <w:p>
            <w:pPr>
              <w:pStyle w:val="14"/>
              <w:spacing w:line="360" w:lineRule="auto"/>
              <w:ind w:firstLine="420" w:firstLineChars="200"/>
              <w:rPr>
                <w:rFonts w:hint="eastAsia" w:ascii="Times New Roman" w:hAnsi="Times New Roman"/>
                <w:sz w:val="21"/>
                <w:szCs w:val="21"/>
              </w:rPr>
            </w:pPr>
            <w:r>
              <w:rPr>
                <w:rFonts w:hint="eastAsia" w:ascii="Times New Roman" w:hAnsi="Times New Roman"/>
                <w:sz w:val="21"/>
                <w:szCs w:val="21"/>
              </w:rPr>
              <w:t>力度，争取超越相关方的期望，管理方针、管理目标，总体在能以贯彻落实，质量、环境绩效良好，在管理体系的自我完善方面，仍需不断努力。</w:t>
            </w:r>
          </w:p>
          <w:p>
            <w:pPr>
              <w:pStyle w:val="14"/>
              <w:spacing w:line="360" w:lineRule="auto"/>
              <w:ind w:firstLine="420" w:firstLineChars="200"/>
              <w:rPr>
                <w:rFonts w:ascii="Times New Roman" w:hAnsi="Times New Roman"/>
                <w:sz w:val="21"/>
                <w:szCs w:val="21"/>
              </w:rPr>
            </w:pPr>
            <w:r>
              <w:rPr>
                <w:rFonts w:hint="eastAsia" w:ascii="Times New Roman" w:hAnsi="Times New Roman"/>
                <w:sz w:val="21"/>
                <w:szCs w:val="21"/>
              </w:rPr>
              <w:t>管理评审的改进要求正在实施中。</w:t>
            </w:r>
          </w:p>
          <w:p>
            <w:pPr>
              <w:pStyle w:val="14"/>
              <w:spacing w:line="360" w:lineRule="auto"/>
              <w:ind w:firstLine="420" w:firstLineChars="200"/>
              <w:rPr>
                <w:rFonts w:ascii="Times New Roman" w:hAnsi="Times New Roman"/>
                <w:sz w:val="21"/>
                <w:szCs w:val="21"/>
              </w:rPr>
            </w:pPr>
          </w:p>
          <w:p>
            <w:r>
              <w:rPr>
                <w:rFonts w:hint="eastAsia"/>
                <w:sz w:val="21"/>
                <w:szCs w:val="21"/>
              </w:rPr>
              <w:t>——年度保持符合标准要求。</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ind w:firstLine="396" w:firstLineChars="200"/>
              <w:rPr>
                <w:rFonts w:ascii="宋体" w:hAnsi="宋体" w:cs="Arial"/>
                <w:spacing w:val="-6"/>
                <w:sz w:val="21"/>
                <w:szCs w:val="21"/>
              </w:rPr>
            </w:pPr>
            <w:r>
              <w:rPr>
                <w:rFonts w:hint="eastAsia" w:ascii="宋体" w:hAnsi="宋体" w:cs="Arial"/>
                <w:spacing w:val="-6"/>
                <w:sz w:val="21"/>
                <w:szCs w:val="21"/>
              </w:rPr>
              <w:t>国家/地方监督抽查情况；顾客满意、相关方投诉及处理情况；上次审核不符合验证，变更，证书及标志的使用，</w:t>
            </w:r>
          </w:p>
          <w:p>
            <w:pPr>
              <w:rPr>
                <w:rFonts w:hint="eastAsia" w:ascii="宋体" w:hAnsi="宋体"/>
                <w:sz w:val="21"/>
                <w:szCs w:val="21"/>
              </w:rPr>
            </w:pPr>
            <w:r>
              <w:rPr>
                <w:rFonts w:hint="eastAsia" w:ascii="宋体" w:hAnsi="宋体" w:cs="Arial"/>
                <w:spacing w:val="-6"/>
                <w:sz w:val="21"/>
                <w:szCs w:val="21"/>
              </w:rPr>
              <w:t>验证企业相关资质证明的有效性；</w:t>
            </w:r>
          </w:p>
        </w:tc>
        <w:tc>
          <w:tcPr>
            <w:tcW w:w="960" w:type="dxa"/>
          </w:tcPr>
          <w:p>
            <w:pPr>
              <w:rPr>
                <w:sz w:val="21"/>
                <w:szCs w:val="21"/>
              </w:rPr>
            </w:pPr>
          </w:p>
        </w:tc>
        <w:tc>
          <w:tcPr>
            <w:tcW w:w="10004" w:type="dxa"/>
          </w:tcPr>
          <w:p>
            <w:pPr>
              <w:spacing w:line="360" w:lineRule="auto"/>
              <w:rPr>
                <w:rFonts w:hint="eastAsia"/>
                <w:lang w:val="en-US" w:eastAsia="zh-CN"/>
              </w:rPr>
            </w:pPr>
            <w:r>
              <w:rPr>
                <w:rFonts w:hint="eastAsia"/>
                <w:lang w:val="en-US" w:eastAsia="zh-CN"/>
              </w:rPr>
              <w:t>1、经核查，初审未</w:t>
            </w:r>
            <w:bookmarkStart w:id="4" w:name="_GoBack"/>
            <w:bookmarkEnd w:id="4"/>
            <w:r>
              <w:rPr>
                <w:rFonts w:hint="eastAsia"/>
                <w:lang w:val="en-US" w:eastAsia="zh-CN"/>
              </w:rPr>
              <w:t>开局不符合项。</w:t>
            </w:r>
          </w:p>
          <w:p>
            <w:pPr>
              <w:pStyle w:val="13"/>
              <w:spacing w:line="360" w:lineRule="auto"/>
              <w:rPr>
                <w:rFonts w:hint="eastAsia"/>
                <w:lang w:val="en-US" w:eastAsia="zh-CN"/>
              </w:rPr>
            </w:pPr>
            <w:r>
              <w:rPr>
                <w:rFonts w:hint="eastAsia"/>
                <w:lang w:val="en-US" w:eastAsia="zh-CN"/>
              </w:rPr>
              <w:t>2、负责人介绍，本年度顾客满意度目标达成；无批量退货及相关方投诉事件；无媒体曝光、环境、安全事件发生；</w:t>
            </w:r>
          </w:p>
          <w:p>
            <w:pPr>
              <w:pStyle w:val="13"/>
              <w:spacing w:line="360" w:lineRule="auto"/>
              <w:rPr>
                <w:rFonts w:hint="eastAsia"/>
                <w:lang w:val="en-US" w:eastAsia="zh-CN"/>
              </w:rPr>
            </w:pPr>
            <w:r>
              <w:rPr>
                <w:rFonts w:hint="eastAsia"/>
                <w:lang w:val="en-US" w:eastAsia="zh-CN"/>
              </w:rPr>
              <w:t>3、年度内体系未发生变更；</w:t>
            </w:r>
          </w:p>
          <w:p>
            <w:pPr>
              <w:pStyle w:val="13"/>
              <w:spacing w:line="360" w:lineRule="auto"/>
              <w:rPr>
                <w:rFonts w:hint="default"/>
                <w:lang w:val="en-US" w:eastAsia="zh-CN"/>
              </w:rPr>
            </w:pPr>
            <w:r>
              <w:rPr>
                <w:rFonts w:hint="eastAsia"/>
                <w:lang w:val="en-US" w:eastAsia="zh-CN"/>
              </w:rPr>
              <w:t>4、资质再确认：</w:t>
            </w:r>
          </w:p>
          <w:p>
            <w:pPr>
              <w:pStyle w:val="13"/>
              <w:spacing w:line="360" w:lineRule="auto"/>
              <w:rPr>
                <w:rFonts w:hint="eastAsia"/>
                <w:lang w:val="en-US" w:eastAsia="zh-CN"/>
              </w:rPr>
            </w:pPr>
            <w:r>
              <w:rPr>
                <w:rFonts w:hint="eastAsia"/>
                <w:lang w:val="en-US" w:eastAsia="zh-CN"/>
              </w:rPr>
              <w:t>*核查其营业执照产品覆盖范围及经营时间均为有效；</w:t>
            </w:r>
          </w:p>
          <w:p>
            <w:pPr>
              <w:pStyle w:val="13"/>
              <w:spacing w:line="360" w:lineRule="auto"/>
              <w:rPr>
                <w:rFonts w:hint="eastAsia"/>
                <w:lang w:val="en-US" w:eastAsia="zh-CN"/>
              </w:rPr>
            </w:pPr>
            <w:r>
              <w:rPr>
                <w:rFonts w:hint="eastAsia"/>
                <w:lang w:val="en-US" w:eastAsia="zh-CN"/>
              </w:rPr>
              <w:t>*依据《住房城乡建设部办公厅关于做好取消城市园林绿化企业资质核准行政许可事项相关工作的通知》建办城[2017]27号，住建部正式取消城市园林绿化企业资质核准，因此，公司Q无特定资质要求。</w:t>
            </w:r>
          </w:p>
          <w:p>
            <w:pPr>
              <w:pStyle w:val="13"/>
              <w:spacing w:line="360" w:lineRule="auto"/>
              <w:rPr>
                <w:rFonts w:hint="default"/>
                <w:lang w:val="en-US" w:eastAsia="zh-CN"/>
              </w:rPr>
            </w:pPr>
            <w:r>
              <w:rPr>
                <w:rFonts w:hint="eastAsia"/>
                <w:lang w:val="en-US" w:eastAsia="zh-CN"/>
              </w:rPr>
              <w:t>*办公场所坐落于丰台科技园，其环评资质和消防资质由园区负责。</w:t>
            </w:r>
          </w:p>
          <w:p>
            <w:pPr>
              <w:rPr>
                <w:rFonts w:hint="default"/>
                <w:lang w:val="en-US" w:eastAsia="zh-CN"/>
              </w:rPr>
            </w:pPr>
            <w:r>
              <w:rPr>
                <w:rFonts w:hint="eastAsia"/>
                <w:lang w:val="en-US" w:eastAsia="zh-CN"/>
              </w:rPr>
              <w:t>5、.通过公开渠道查询，未见行政处罚及异常经营信息。如下：</w:t>
            </w:r>
          </w:p>
          <w:p>
            <w:r>
              <w:drawing>
                <wp:inline distT="0" distB="0" distL="114300" distR="114300">
                  <wp:extent cx="6213475" cy="4438650"/>
                  <wp:effectExtent l="0" t="0" r="4445"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6213475" cy="4438650"/>
                          </a:xfrm>
                          <a:prstGeom prst="rect">
                            <a:avLst/>
                          </a:prstGeom>
                          <a:noFill/>
                          <a:ln>
                            <a:noFill/>
                          </a:ln>
                        </pic:spPr>
                      </pic:pic>
                    </a:graphicData>
                  </a:graphic>
                </wp:inline>
              </w:drawing>
            </w:r>
          </w:p>
        </w:tc>
        <w:tc>
          <w:tcPr>
            <w:tcW w:w="1585" w:type="dxa"/>
          </w:tcPr>
          <w:p/>
        </w:tc>
      </w:tr>
    </w:tbl>
    <w:p>
      <w:r>
        <w:ptab w:relativeTo="margin" w:alignment="center" w:leader="none"/>
      </w:r>
    </w:p>
    <w:p/>
    <w:p/>
    <w:p>
      <w:pPr>
        <w:pStyle w:val="6"/>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2"/>
      <w:pBdr>
        <w:bottom w:val="none" w:color="auto" w:sz="0" w:space="0"/>
      </w:pBdr>
      <w:spacing w:line="320" w:lineRule="exact"/>
      <w:ind w:firstLine="756" w:firstLineChars="400"/>
      <w:jc w:val="left"/>
    </w:pPr>
    <w:r>
      <w:rPr>
        <w:rStyle w:val="12"/>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mM3NDJhNGRkNmZiZjA2OTg3ZjZiMDhkODZkNmNlMjcifQ=="/>
  </w:docVars>
  <w:rsids>
    <w:rsidRoot w:val="00000000"/>
    <w:rsid w:val="007427A5"/>
    <w:rsid w:val="00AE30B0"/>
    <w:rsid w:val="013E2686"/>
    <w:rsid w:val="0166460E"/>
    <w:rsid w:val="01DF507C"/>
    <w:rsid w:val="020008FC"/>
    <w:rsid w:val="02313F99"/>
    <w:rsid w:val="02716C63"/>
    <w:rsid w:val="02C664BF"/>
    <w:rsid w:val="033E332C"/>
    <w:rsid w:val="04B52C5F"/>
    <w:rsid w:val="054A1FC8"/>
    <w:rsid w:val="05707E88"/>
    <w:rsid w:val="058077CA"/>
    <w:rsid w:val="05952904"/>
    <w:rsid w:val="05AD3936"/>
    <w:rsid w:val="05D963ED"/>
    <w:rsid w:val="05F170FC"/>
    <w:rsid w:val="072D51C5"/>
    <w:rsid w:val="07336455"/>
    <w:rsid w:val="07D545FE"/>
    <w:rsid w:val="08960EA3"/>
    <w:rsid w:val="0A5E6A25"/>
    <w:rsid w:val="0A6F565E"/>
    <w:rsid w:val="0B195DEC"/>
    <w:rsid w:val="0B8C3FEE"/>
    <w:rsid w:val="0BCE4606"/>
    <w:rsid w:val="0D8378B5"/>
    <w:rsid w:val="0E9F3E75"/>
    <w:rsid w:val="0FE9084D"/>
    <w:rsid w:val="104906FF"/>
    <w:rsid w:val="10914580"/>
    <w:rsid w:val="10C1604B"/>
    <w:rsid w:val="11A72192"/>
    <w:rsid w:val="126C1796"/>
    <w:rsid w:val="131A6BB9"/>
    <w:rsid w:val="14114733"/>
    <w:rsid w:val="151C042B"/>
    <w:rsid w:val="158A77F0"/>
    <w:rsid w:val="172377DF"/>
    <w:rsid w:val="17573B63"/>
    <w:rsid w:val="182C2DE0"/>
    <w:rsid w:val="18985549"/>
    <w:rsid w:val="1A444411"/>
    <w:rsid w:val="1A5A477B"/>
    <w:rsid w:val="1A702BDF"/>
    <w:rsid w:val="1B0C071A"/>
    <w:rsid w:val="1B710FE4"/>
    <w:rsid w:val="1C47468D"/>
    <w:rsid w:val="1CD221A8"/>
    <w:rsid w:val="1D1B4D0D"/>
    <w:rsid w:val="1D696BC6"/>
    <w:rsid w:val="1D87172C"/>
    <w:rsid w:val="1D900918"/>
    <w:rsid w:val="1DAD1EBF"/>
    <w:rsid w:val="1DE61509"/>
    <w:rsid w:val="1EA709B1"/>
    <w:rsid w:val="1EAC07D7"/>
    <w:rsid w:val="1F9C4CF0"/>
    <w:rsid w:val="203B1E13"/>
    <w:rsid w:val="20BA367F"/>
    <w:rsid w:val="21AD0AEE"/>
    <w:rsid w:val="21B005DE"/>
    <w:rsid w:val="21CB4EED"/>
    <w:rsid w:val="21E464DA"/>
    <w:rsid w:val="22152725"/>
    <w:rsid w:val="241E0C35"/>
    <w:rsid w:val="241E3F25"/>
    <w:rsid w:val="242A0B1C"/>
    <w:rsid w:val="243020D4"/>
    <w:rsid w:val="2471674B"/>
    <w:rsid w:val="247B5C7B"/>
    <w:rsid w:val="24CA7C09"/>
    <w:rsid w:val="24E5595D"/>
    <w:rsid w:val="26EC030B"/>
    <w:rsid w:val="2810627B"/>
    <w:rsid w:val="285E278D"/>
    <w:rsid w:val="28D53673"/>
    <w:rsid w:val="29162964"/>
    <w:rsid w:val="29ED074C"/>
    <w:rsid w:val="2A1D6A2D"/>
    <w:rsid w:val="2BE65223"/>
    <w:rsid w:val="2D6F134E"/>
    <w:rsid w:val="2D8037A4"/>
    <w:rsid w:val="2DFA56E6"/>
    <w:rsid w:val="2FAB34D8"/>
    <w:rsid w:val="32B12408"/>
    <w:rsid w:val="32BD6FFF"/>
    <w:rsid w:val="33240E2C"/>
    <w:rsid w:val="339E7778"/>
    <w:rsid w:val="341118BA"/>
    <w:rsid w:val="3437533C"/>
    <w:rsid w:val="34D34B31"/>
    <w:rsid w:val="357F234A"/>
    <w:rsid w:val="359202CF"/>
    <w:rsid w:val="35BB3842"/>
    <w:rsid w:val="35F065A8"/>
    <w:rsid w:val="36AA0AC4"/>
    <w:rsid w:val="36B14785"/>
    <w:rsid w:val="36DB1FCA"/>
    <w:rsid w:val="36E25286"/>
    <w:rsid w:val="376E49F4"/>
    <w:rsid w:val="37EB4B7E"/>
    <w:rsid w:val="38D8249D"/>
    <w:rsid w:val="38F87F5C"/>
    <w:rsid w:val="38FB3C15"/>
    <w:rsid w:val="39487536"/>
    <w:rsid w:val="3950091E"/>
    <w:rsid w:val="39CA6593"/>
    <w:rsid w:val="39EE5CF0"/>
    <w:rsid w:val="39F257E0"/>
    <w:rsid w:val="39F2758E"/>
    <w:rsid w:val="3A79380C"/>
    <w:rsid w:val="3AFF6407"/>
    <w:rsid w:val="3C4F6F1A"/>
    <w:rsid w:val="3F577E93"/>
    <w:rsid w:val="3F5D36FC"/>
    <w:rsid w:val="3F695D11"/>
    <w:rsid w:val="3FEA0033"/>
    <w:rsid w:val="3FFE6DC3"/>
    <w:rsid w:val="4015592D"/>
    <w:rsid w:val="40D93256"/>
    <w:rsid w:val="4142704D"/>
    <w:rsid w:val="415566A5"/>
    <w:rsid w:val="41984EBF"/>
    <w:rsid w:val="419F644D"/>
    <w:rsid w:val="41B4781F"/>
    <w:rsid w:val="424874F7"/>
    <w:rsid w:val="42F51E9D"/>
    <w:rsid w:val="434846C3"/>
    <w:rsid w:val="436A4694"/>
    <w:rsid w:val="43D52449"/>
    <w:rsid w:val="4439400C"/>
    <w:rsid w:val="44DC3315"/>
    <w:rsid w:val="45CC3389"/>
    <w:rsid w:val="462A6302"/>
    <w:rsid w:val="46845B8C"/>
    <w:rsid w:val="47CC5748"/>
    <w:rsid w:val="47D14C87"/>
    <w:rsid w:val="4871646A"/>
    <w:rsid w:val="48E46C3C"/>
    <w:rsid w:val="4A5D0A54"/>
    <w:rsid w:val="4A6D24F7"/>
    <w:rsid w:val="4B49547C"/>
    <w:rsid w:val="4BFF6ECE"/>
    <w:rsid w:val="4C194E4E"/>
    <w:rsid w:val="4C910E89"/>
    <w:rsid w:val="4DE90A01"/>
    <w:rsid w:val="4DF0398D"/>
    <w:rsid w:val="4E050107"/>
    <w:rsid w:val="4E8D38D2"/>
    <w:rsid w:val="4EE67DF0"/>
    <w:rsid w:val="4F0E24B7"/>
    <w:rsid w:val="525B2A6E"/>
    <w:rsid w:val="53193986"/>
    <w:rsid w:val="538B4884"/>
    <w:rsid w:val="539B3EB8"/>
    <w:rsid w:val="53BA0CC5"/>
    <w:rsid w:val="53C658BC"/>
    <w:rsid w:val="54613836"/>
    <w:rsid w:val="55191A1B"/>
    <w:rsid w:val="55713605"/>
    <w:rsid w:val="565A678F"/>
    <w:rsid w:val="565F3DA6"/>
    <w:rsid w:val="56AE5F26"/>
    <w:rsid w:val="58BF0B2C"/>
    <w:rsid w:val="58EE2E8A"/>
    <w:rsid w:val="597E7033"/>
    <w:rsid w:val="5B0311A3"/>
    <w:rsid w:val="5C236A8A"/>
    <w:rsid w:val="5DA64068"/>
    <w:rsid w:val="5E4A0E97"/>
    <w:rsid w:val="5EA44A4C"/>
    <w:rsid w:val="5F7268F8"/>
    <w:rsid w:val="5FFC2665"/>
    <w:rsid w:val="60730B79"/>
    <w:rsid w:val="60845FFA"/>
    <w:rsid w:val="617C1CB0"/>
    <w:rsid w:val="61BA27D8"/>
    <w:rsid w:val="6254681E"/>
    <w:rsid w:val="62987EC7"/>
    <w:rsid w:val="630F26B0"/>
    <w:rsid w:val="63BB7111"/>
    <w:rsid w:val="65727B7B"/>
    <w:rsid w:val="65953340"/>
    <w:rsid w:val="65CE6852"/>
    <w:rsid w:val="66430FEE"/>
    <w:rsid w:val="66E16111"/>
    <w:rsid w:val="66E3632D"/>
    <w:rsid w:val="68242759"/>
    <w:rsid w:val="684F5A1C"/>
    <w:rsid w:val="68C203A3"/>
    <w:rsid w:val="694423AE"/>
    <w:rsid w:val="69F756B6"/>
    <w:rsid w:val="6BF26EDE"/>
    <w:rsid w:val="6C186F7E"/>
    <w:rsid w:val="6C4A08E9"/>
    <w:rsid w:val="6D0D4104"/>
    <w:rsid w:val="6D793547"/>
    <w:rsid w:val="6ECC76A7"/>
    <w:rsid w:val="6F1C062E"/>
    <w:rsid w:val="6FFD4D9E"/>
    <w:rsid w:val="721F24EB"/>
    <w:rsid w:val="724834E8"/>
    <w:rsid w:val="72587BCF"/>
    <w:rsid w:val="725F781B"/>
    <w:rsid w:val="72EE22E1"/>
    <w:rsid w:val="734168B5"/>
    <w:rsid w:val="74542618"/>
    <w:rsid w:val="74BA2CA6"/>
    <w:rsid w:val="752244C4"/>
    <w:rsid w:val="75275A87"/>
    <w:rsid w:val="775F555C"/>
    <w:rsid w:val="778925D9"/>
    <w:rsid w:val="77924A71"/>
    <w:rsid w:val="78056103"/>
    <w:rsid w:val="781B3416"/>
    <w:rsid w:val="78B605DA"/>
    <w:rsid w:val="79177F8B"/>
    <w:rsid w:val="7A3C66F5"/>
    <w:rsid w:val="7B446F42"/>
    <w:rsid w:val="7BDA7F6B"/>
    <w:rsid w:val="7D6B2EAC"/>
    <w:rsid w:val="7D725CEE"/>
    <w:rsid w:val="7DB06B11"/>
    <w:rsid w:val="7DDB76E7"/>
    <w:rsid w:val="7EA47F01"/>
    <w:rsid w:val="7EC16AFC"/>
    <w:rsid w:val="7EF345BF"/>
    <w:rsid w:val="7F58120E"/>
    <w:rsid w:val="7F7C49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4"/>
    <w:basedOn w:val="1"/>
    <w:next w:val="1"/>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paragraph" w:styleId="4">
    <w:name w:val="heading 5"/>
    <w:basedOn w:val="1"/>
    <w:next w:val="1"/>
    <w:semiHidden/>
    <w:unhideWhenUsed/>
    <w:qFormat/>
    <w:uiPriority w:val="9"/>
    <w:pPr>
      <w:keepNext/>
      <w:keepLines/>
      <w:spacing w:before="280" w:beforeLines="0" w:beforeAutospacing="0" w:after="290" w:afterLines="0" w:afterAutospacing="0" w:line="372" w:lineRule="auto"/>
      <w:outlineLvl w:val="4"/>
    </w:pPr>
    <w:rPr>
      <w:b/>
      <w:sz w:val="28"/>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Balloon Text"/>
    <w:basedOn w:val="1"/>
    <w:link w:val="11"/>
    <w:semiHidden/>
    <w:unhideWhenUsed/>
    <w:qFormat/>
    <w:uiPriority w:val="99"/>
    <w:rPr>
      <w:sz w:val="18"/>
      <w:szCs w:val="18"/>
    </w:rPr>
  </w:style>
  <w:style w:type="paragraph" w:styleId="6">
    <w:name w:val="footer"/>
    <w:basedOn w:val="1"/>
    <w:link w:val="10"/>
    <w:unhideWhenUsed/>
    <w:qFormat/>
    <w:uiPriority w:val="99"/>
    <w:pPr>
      <w:tabs>
        <w:tab w:val="center" w:pos="4153"/>
        <w:tab w:val="right" w:pos="8306"/>
      </w:tabs>
      <w:snapToGrid w:val="0"/>
      <w:jc w:val="left"/>
    </w:pPr>
    <w:rPr>
      <w:sz w:val="18"/>
      <w:szCs w:val="18"/>
    </w:rPr>
  </w:style>
  <w:style w:type="character" w:customStyle="1" w:styleId="9">
    <w:name w:val="页眉 Char"/>
    <w:basedOn w:val="8"/>
    <w:link w:val="2"/>
    <w:qFormat/>
    <w:uiPriority w:val="99"/>
    <w:rPr>
      <w:rFonts w:ascii="Times New Roman" w:hAnsi="Times New Roman" w:eastAsia="宋体" w:cs="Times New Roman"/>
      <w:sz w:val="18"/>
      <w:szCs w:val="18"/>
    </w:rPr>
  </w:style>
  <w:style w:type="character" w:customStyle="1" w:styleId="10">
    <w:name w:val="页脚 Char"/>
    <w:basedOn w:val="8"/>
    <w:link w:val="6"/>
    <w:qFormat/>
    <w:uiPriority w:val="99"/>
    <w:rPr>
      <w:rFonts w:ascii="Times New Roman" w:hAnsi="Times New Roman" w:eastAsia="宋体" w:cs="Times New Roman"/>
      <w:sz w:val="18"/>
      <w:szCs w:val="18"/>
    </w:rPr>
  </w:style>
  <w:style w:type="character" w:customStyle="1" w:styleId="11">
    <w:name w:val="批注框文本 Char"/>
    <w:basedOn w:val="8"/>
    <w:link w:val="5"/>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表格文字"/>
    <w:basedOn w:val="1"/>
    <w:qFormat/>
    <w:uiPriority w:val="0"/>
    <w:pPr>
      <w:spacing w:before="25" w:after="25"/>
    </w:pPr>
    <w:rPr>
      <w:bCs/>
      <w:spacing w:val="10"/>
    </w:rPr>
  </w:style>
  <w:style w:type="paragraph" w:styleId="14">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15</TotalTime>
  <ScaleCrop>false</ScaleCrop>
  <LinksUpToDate>false</LinksUpToDate>
  <CharactersWithSpaces>101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匡吉文</cp:lastModifiedBy>
  <dcterms:modified xsi:type="dcterms:W3CDTF">2022-04-27T02:25:51Z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2052-11.1.0.11636</vt:lpwstr>
  </property>
  <property fmtid="{D5CDD505-2E9C-101B-9397-08002B2CF9AE}" pid="4" name="commondata">
    <vt:lpwstr>eyJoZGlkIjoiYmM3NDJhNGRkNmZiZjA2OTg3ZjZiMDhkODZkNmNlMjcifQ==</vt:lpwstr>
  </property>
</Properties>
</file>