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rPr>
            </w:pPr>
            <w:r>
              <w:rPr>
                <w:rFonts w:hint="eastAsia" w:ascii="宋体" w:hAnsi="宋体" w:eastAsia="宋体" w:cs="宋体"/>
                <w:sz w:val="24"/>
                <w:szCs w:val="24"/>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受审核部门：</w:t>
            </w:r>
            <w:r>
              <w:rPr>
                <w:rFonts w:hint="eastAsia" w:ascii="宋体" w:hAnsi="宋体" w:cs="宋体"/>
                <w:color w:val="auto"/>
                <w:sz w:val="21"/>
                <w:szCs w:val="21"/>
                <w:lang w:val="en-US" w:eastAsia="zh-CN"/>
              </w:rPr>
              <w:t>销售部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张建良</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王显著</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李俐</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日</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napToGrid w:val="0"/>
              <w:spacing w:line="360" w:lineRule="auto"/>
              <w:jc w:val="left"/>
              <w:rPr>
                <w:rFonts w:hint="eastAsia"/>
                <w:lang w:val="en-US" w:eastAsia="zh-CN"/>
              </w:rPr>
            </w:pPr>
            <w:r>
              <w:rPr>
                <w:rFonts w:hint="eastAsia"/>
              </w:rPr>
              <w:t>审核条款：</w:t>
            </w:r>
          </w:p>
          <w:p>
            <w:pPr>
              <w:pStyle w:val="15"/>
              <w:spacing w:after="0"/>
              <w:rPr>
                <w:rFonts w:hint="eastAsia" w:ascii="宋体" w:hAnsi="宋体" w:eastAsia="宋体"/>
                <w:b/>
                <w:bCs/>
                <w:sz w:val="21"/>
                <w:szCs w:val="21"/>
                <w:u w:val="none"/>
                <w:lang w:eastAsia="zh-CN"/>
              </w:rPr>
            </w:pPr>
            <w:r>
              <w:rPr>
                <w:rFonts w:hint="eastAsia" w:ascii="宋体" w:hAnsi="宋体" w:eastAsia="宋体" w:cs="Arial"/>
                <w:b/>
                <w:bCs/>
                <w:sz w:val="21"/>
                <w:szCs w:val="21"/>
                <w:u w:val="none"/>
                <w:lang w:eastAsia="zh-CN"/>
              </w:rPr>
              <w:t xml:space="preserve">EMS: </w:t>
            </w:r>
            <w:r>
              <w:rPr>
                <w:rFonts w:hint="eastAsia" w:ascii="宋体" w:hAnsi="宋体" w:cs="Arial"/>
                <w:b/>
                <w:bCs/>
                <w:sz w:val="21"/>
                <w:szCs w:val="21"/>
                <w:u w:val="none"/>
              </w:rPr>
              <w:t>5.3</w:t>
            </w:r>
            <w:r>
              <w:rPr>
                <w:rFonts w:hint="eastAsia" w:ascii="宋体" w:hAnsi="宋体" w:eastAsia="宋体" w:cs="Arial"/>
                <w:b/>
                <w:bCs/>
                <w:sz w:val="21"/>
                <w:szCs w:val="21"/>
                <w:u w:val="none"/>
                <w:lang w:eastAsia="zh-CN"/>
              </w:rPr>
              <w:t>，</w:t>
            </w:r>
            <w:r>
              <w:rPr>
                <w:rFonts w:hint="eastAsia" w:ascii="宋体" w:hAnsi="宋体" w:cs="Arial"/>
                <w:b/>
                <w:bCs/>
                <w:sz w:val="21"/>
                <w:szCs w:val="21"/>
                <w:u w:val="none"/>
              </w:rPr>
              <w:t>6.2</w:t>
            </w:r>
            <w:r>
              <w:rPr>
                <w:rFonts w:hint="eastAsia" w:ascii="宋体" w:hAnsi="宋体" w:eastAsia="宋体" w:cs="Arial"/>
                <w:b/>
                <w:bCs/>
                <w:sz w:val="21"/>
                <w:szCs w:val="21"/>
                <w:u w:val="none"/>
                <w:lang w:eastAsia="zh-CN"/>
              </w:rPr>
              <w:t>，6.1.2,8.1, 8.2,</w:t>
            </w:r>
            <w:r>
              <w:rPr>
                <w:rFonts w:hint="eastAsia" w:ascii="宋体" w:hAnsi="宋体" w:eastAsia="宋体"/>
                <w:b/>
                <w:bCs/>
                <w:sz w:val="21"/>
                <w:szCs w:val="21"/>
                <w:u w:val="none"/>
              </w:rPr>
              <w:t xml:space="preserve"> </w:t>
            </w:r>
          </w:p>
          <w:p>
            <w:pPr>
              <w:pStyle w:val="3"/>
              <w:jc w:val="both"/>
              <w:rPr>
                <w:rFonts w:hint="eastAsia"/>
              </w:rPr>
            </w:pPr>
            <w:r>
              <w:rPr>
                <w:rFonts w:hint="eastAsia" w:ascii="宋体" w:hAnsi="宋体"/>
                <w:b/>
                <w:bCs/>
                <w:sz w:val="21"/>
                <w:szCs w:val="21"/>
                <w:u w:val="none"/>
              </w:rPr>
              <w:t>OHS:</w:t>
            </w:r>
            <w:r>
              <w:rPr>
                <w:rFonts w:ascii="宋体" w:hAnsi="宋体"/>
                <w:b/>
                <w:bCs/>
                <w:sz w:val="21"/>
                <w:szCs w:val="21"/>
                <w:u w:val="none"/>
              </w:rPr>
              <w:t xml:space="preserve"> </w:t>
            </w:r>
            <w:r>
              <w:rPr>
                <w:rFonts w:hint="eastAsia" w:ascii="宋体" w:hAnsi="宋体" w:cs="Arial"/>
                <w:b/>
                <w:bCs/>
                <w:sz w:val="21"/>
                <w:szCs w:val="21"/>
                <w:u w:val="none"/>
              </w:rPr>
              <w:t>5.3</w:t>
            </w:r>
            <w:r>
              <w:rPr>
                <w:rFonts w:hint="eastAsia" w:ascii="宋体" w:hAnsi="宋体" w:cs="Arial"/>
                <w:b/>
                <w:bCs/>
                <w:sz w:val="21"/>
                <w:szCs w:val="21"/>
                <w:u w:val="none"/>
                <w:lang w:eastAsia="zh-CN"/>
              </w:rPr>
              <w:t>，</w:t>
            </w:r>
            <w:r>
              <w:rPr>
                <w:rFonts w:hint="eastAsia" w:ascii="宋体" w:hAnsi="宋体" w:cs="Arial"/>
                <w:b/>
                <w:bCs/>
                <w:sz w:val="21"/>
                <w:szCs w:val="21"/>
                <w:u w:val="none"/>
              </w:rPr>
              <w:t>6.2</w:t>
            </w:r>
            <w:r>
              <w:rPr>
                <w:rFonts w:hint="eastAsia" w:ascii="宋体" w:hAnsi="宋体" w:cs="Arial"/>
                <w:b/>
                <w:bCs/>
                <w:sz w:val="21"/>
                <w:szCs w:val="21"/>
                <w:u w:val="none"/>
                <w:lang w:eastAsia="zh-CN"/>
              </w:rPr>
              <w:t>，</w:t>
            </w:r>
            <w:r>
              <w:rPr>
                <w:rFonts w:hint="eastAsia" w:ascii="宋体" w:hAnsi="宋体" w:cs="Arial"/>
                <w:b/>
                <w:bCs/>
                <w:sz w:val="21"/>
                <w:szCs w:val="21"/>
                <w:u w:val="none"/>
              </w:rPr>
              <w:t>6.1.2,8.1, 8.2,</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组织的岗位、职责和权限</w:t>
            </w:r>
          </w:p>
        </w:tc>
        <w:tc>
          <w:tcPr>
            <w:tcW w:w="960" w:type="dxa"/>
          </w:tcPr>
          <w:p>
            <w:pPr>
              <w:spacing w:line="360" w:lineRule="auto"/>
              <w:rPr>
                <w:rFonts w:hint="eastAsia" w:ascii="Times New Roman" w:hAnsi="Times New Roman" w:cs="Times New Roman"/>
                <w:sz w:val="21"/>
                <w:szCs w:val="21"/>
              </w:rPr>
            </w:pPr>
            <w:r>
              <w:rPr>
                <w:rFonts w:hint="eastAsia" w:ascii="宋体" w:hAnsi="宋体" w:eastAsia="宋体" w:cs="宋体"/>
                <w:szCs w:val="21"/>
              </w:rPr>
              <w:t>EO:5</w:t>
            </w:r>
            <w:bookmarkStart w:id="0" w:name="_GoBack"/>
            <w:bookmarkEnd w:id="0"/>
            <w:r>
              <w:rPr>
                <w:rFonts w:hint="eastAsia" w:ascii="宋体" w:hAnsi="宋体" w:eastAsia="宋体" w:cs="宋体"/>
                <w:szCs w:val="21"/>
              </w:rPr>
              <w:t xml:space="preserve">.3 </w:t>
            </w:r>
          </w:p>
        </w:tc>
        <w:tc>
          <w:tcPr>
            <w:tcW w:w="10004" w:type="dxa"/>
          </w:tcPr>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销售部</w:t>
            </w:r>
            <w:r>
              <w:rPr>
                <w:rFonts w:hint="eastAsia" w:ascii="Times New Roman" w:hAnsi="Times New Roman" w:cs="Times New Roman"/>
                <w:sz w:val="21"/>
                <w:szCs w:val="21"/>
                <w:lang w:val="en-US" w:eastAsia="zh-CN"/>
              </w:rPr>
              <w:t>职责：</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负责顾客要求的确定和评审以及合同管理；负责合同变更管理工作；负责产品销售、顾客沟通、顾客满意度调查；负责顾客财产的管理工作；负责成品库的管理工作；负责产品发运交付工作；负责售后服务工作；负责有关相关方的管理和施加影响；负责相关环境因素、危险源、能源因素的识别与控制。</w:t>
            </w:r>
          </w:p>
          <w:p>
            <w:pPr>
              <w:spacing w:line="36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销售部</w:t>
            </w:r>
            <w:r>
              <w:rPr>
                <w:rFonts w:hint="eastAsia" w:ascii="Times New Roman" w:hAnsi="Times New Roman" w:cs="Times New Roman"/>
                <w:sz w:val="21"/>
                <w:szCs w:val="21"/>
              </w:rPr>
              <w:t>负责人：张建良。在手册中确定了</w:t>
            </w:r>
            <w:r>
              <w:rPr>
                <w:rFonts w:hint="eastAsia" w:ascii="Times New Roman" w:hAnsi="Times New Roman" w:cs="Times New Roman"/>
                <w:sz w:val="21"/>
                <w:szCs w:val="21"/>
                <w:lang w:eastAsia="zh-CN"/>
              </w:rPr>
              <w:t>销售部</w:t>
            </w:r>
            <w:r>
              <w:rPr>
                <w:rFonts w:hint="eastAsia" w:ascii="Times New Roman" w:hAnsi="Times New Roman" w:cs="Times New Roman"/>
                <w:sz w:val="21"/>
                <w:szCs w:val="21"/>
              </w:rPr>
              <w:t>的职能，人员职责、权限和相互关系。</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询问</w:t>
            </w:r>
            <w:r>
              <w:rPr>
                <w:rFonts w:hint="eastAsia" w:ascii="Times New Roman" w:hAnsi="Times New Roman" w:cs="Times New Roman"/>
                <w:sz w:val="21"/>
                <w:szCs w:val="21"/>
                <w:lang w:val="en-US" w:eastAsia="zh-CN"/>
              </w:rPr>
              <w:t>销售部</w:t>
            </w:r>
            <w:r>
              <w:rPr>
                <w:rFonts w:hint="eastAsia" w:ascii="Times New Roman" w:hAnsi="Times New Roman" w:cs="Times New Roman"/>
                <w:sz w:val="21"/>
                <w:szCs w:val="21"/>
              </w:rPr>
              <w:t>人员，基本清楚本部门职责。</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环境与职业健康安全目标</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EO:6.2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部门目标：                </w:t>
            </w:r>
            <w:r>
              <w:rPr>
                <w:rFonts w:hint="eastAsia" w:ascii="宋体" w:hAnsi="宋体" w:cs="宋体"/>
                <w:sz w:val="21"/>
                <w:szCs w:val="21"/>
                <w:lang w:val="en-US" w:eastAsia="zh-CN"/>
              </w:rPr>
              <w:t xml:space="preserve">           </w:t>
            </w:r>
            <w:r>
              <w:rPr>
                <w:rFonts w:hint="eastAsia" w:ascii="宋体" w:hAnsi="宋体" w:eastAsia="宋体" w:cs="宋体"/>
                <w:sz w:val="21"/>
                <w:szCs w:val="21"/>
              </w:rPr>
              <w:t>考核情况（20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火灾发生率0，安全事故零发生率0</w:t>
            </w:r>
            <w:r>
              <w:rPr>
                <w:rFonts w:hint="eastAsia" w:ascii="宋体" w:hAnsi="宋体" w:cs="宋体"/>
                <w:sz w:val="21"/>
                <w:szCs w:val="21"/>
                <w:lang w:val="en-US" w:eastAsia="zh-CN"/>
              </w:rPr>
              <w:t xml:space="preserve">            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固废100%分类处置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100%</w:t>
            </w:r>
          </w:p>
          <w:p>
            <w:pPr>
              <w:spacing w:line="360" w:lineRule="auto"/>
              <w:rPr>
                <w:rFonts w:hint="eastAsia" w:ascii="宋体" w:hAnsi="宋体" w:eastAsia="宋体" w:cs="宋体"/>
                <w:sz w:val="21"/>
                <w:szCs w:val="21"/>
              </w:rPr>
            </w:pPr>
            <w:r>
              <w:rPr>
                <w:rFonts w:hint="eastAsia"/>
                <w:sz w:val="21"/>
                <w:szCs w:val="21"/>
              </w:rPr>
              <w:t>按照季度进行考核，提供了20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季度目标考核</w:t>
            </w:r>
            <w:r>
              <w:rPr>
                <w:rFonts w:hint="eastAsia"/>
                <w:sz w:val="21"/>
                <w:szCs w:val="21"/>
                <w:lang w:val="en-US" w:eastAsia="zh-CN"/>
              </w:rPr>
              <w:t>均完成。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抽目标—火灾发生率为0</w:t>
            </w:r>
            <w:r>
              <w:rPr>
                <w:rFonts w:hint="eastAsia" w:ascii="宋体" w:hAnsi="宋体" w:cs="宋体"/>
                <w:sz w:val="21"/>
                <w:szCs w:val="21"/>
                <w:lang w:eastAsia="zh-CN"/>
              </w:rPr>
              <w:t>，</w:t>
            </w:r>
            <w:r>
              <w:rPr>
                <w:rFonts w:hint="eastAsia" w:ascii="宋体" w:hAnsi="宋体" w:eastAsia="宋体" w:cs="宋体"/>
                <w:sz w:val="21"/>
                <w:szCs w:val="21"/>
              </w:rPr>
              <w:t>管理方案：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1）下班时及时关闭办公设备电源，日常；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销售部</w:t>
            </w:r>
            <w:r>
              <w:rPr>
                <w:rFonts w:hint="eastAsia" w:ascii="宋体" w:hAnsi="宋体" w:eastAsia="宋体" w:cs="宋体"/>
                <w:sz w:val="21"/>
                <w:szCs w:val="21"/>
              </w:rPr>
              <w:t>经理抽查电源的关闭情况，每月。</w:t>
            </w:r>
          </w:p>
          <w:p>
            <w:pPr>
              <w:spacing w:line="360" w:lineRule="auto"/>
              <w:rPr>
                <w:rFonts w:hint="eastAsia" w:ascii="宋体" w:hAnsi="宋体" w:eastAsia="宋体" w:cs="宋体"/>
                <w:sz w:val="21"/>
                <w:szCs w:val="21"/>
              </w:rPr>
            </w:pPr>
            <w:r>
              <w:rPr>
                <w:rFonts w:hint="eastAsia" w:ascii="宋体" w:hAnsi="宋体" w:eastAsia="宋体" w:cs="宋体"/>
                <w:sz w:val="21"/>
                <w:szCs w:val="21"/>
              </w:rPr>
              <w:t>3）禁烟，日常。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4）易燃材料限量采购，日常。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5）配备灭火器材。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6）向客户发放一封信</w:t>
            </w:r>
            <w:r>
              <w:rPr>
                <w:rFonts w:hint="eastAsia" w:ascii="宋体" w:hAnsi="宋体" w:eastAsia="宋体" w:cs="宋体"/>
                <w:sz w:val="21"/>
                <w:szCs w:val="21"/>
                <w:lang w:val="en-US" w:eastAsia="zh-CN"/>
              </w:rPr>
              <w:t>.</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经查，已完成。</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统计人：</w:t>
            </w:r>
            <w:r>
              <w:rPr>
                <w:rFonts w:hint="eastAsia" w:ascii="宋体" w:hAnsi="宋体" w:cs="宋体"/>
                <w:color w:val="auto"/>
                <w:sz w:val="21"/>
                <w:szCs w:val="21"/>
                <w:lang w:val="en-US" w:eastAsia="zh-CN"/>
              </w:rPr>
              <w:t>张建良</w:t>
            </w:r>
            <w:r>
              <w:rPr>
                <w:rFonts w:hint="eastAsia" w:ascii="宋体" w:hAnsi="宋体" w:eastAsia="宋体" w:cs="宋体"/>
                <w:sz w:val="21"/>
                <w:szCs w:val="21"/>
              </w:rPr>
              <w:t xml:space="preserve">    </w:t>
            </w:r>
            <w:r>
              <w:rPr>
                <w:rFonts w:hint="eastAsia" w:ascii="宋体" w:hAnsi="宋体" w:cs="宋体"/>
                <w:sz w:val="21"/>
                <w:szCs w:val="21"/>
                <w:lang w:val="en-US" w:eastAsia="zh-CN"/>
              </w:rPr>
              <w:t>检查人</w:t>
            </w:r>
            <w:r>
              <w:rPr>
                <w:rFonts w:hint="eastAsia" w:ascii="宋体" w:hAnsi="宋体" w:eastAsia="宋体" w:cs="宋体"/>
                <w:sz w:val="21"/>
                <w:szCs w:val="21"/>
              </w:rPr>
              <w:t xml:space="preserve">：王显著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日期：2022.3.30</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环境因素识别，危险源辨识、风险评估及控制措施</w:t>
            </w:r>
          </w:p>
        </w:tc>
        <w:tc>
          <w:tcPr>
            <w:tcW w:w="9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 环境因素识别和评价控制程序》、《危险源辨识、风险评价和控制措施的确定》、《风险和机遇分析、评价和应对措施的确定程序》等程序，按照相关程序执行。</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提供《环境因素识别排查表》识别了</w:t>
            </w:r>
            <w:r>
              <w:rPr>
                <w:sz w:val="20"/>
              </w:rPr>
              <w:t>交、直流无间隙金属氧化物避雷器、金属氧化物电阻片的销售</w:t>
            </w:r>
            <w:r>
              <w:rPr>
                <w:rFonts w:hint="eastAsia" w:ascii="宋体" w:hAnsi="宋体" w:eastAsia="宋体" w:cs="宋体"/>
                <w:szCs w:val="21"/>
              </w:rPr>
              <w:t>过程</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环境因素包括：</w:t>
            </w:r>
            <w:r>
              <w:rPr>
                <w:rFonts w:hint="eastAsia" w:ascii="宋体" w:hAnsi="宋体" w:eastAsia="宋体" w:cs="宋体"/>
                <w:szCs w:val="21"/>
                <w:lang w:val="en-US" w:eastAsia="zh-CN"/>
              </w:rPr>
              <w:t>水的消耗、电的消耗、办公用品的消耗、汽车尾气的排放、生活垃圾的排放、纸箱、包装物的废</w:t>
            </w:r>
            <w:r>
              <w:rPr>
                <w:rFonts w:hint="eastAsia" w:ascii="宋体" w:hAnsi="宋体" w:eastAsia="宋体" w:cs="宋体"/>
                <w:sz w:val="21"/>
                <w:szCs w:val="21"/>
                <w:highlight w:val="none"/>
                <w:lang w:val="en-US" w:eastAsia="zh-CN"/>
              </w:rPr>
              <w:t>弃物等；</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提供《重要环境因素清单》2项，包括固废排放（材料包装物废弃、办公垃圾等）、火灾（办公过程潜在火灾的发生）。</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提供《危险源辨识与风险评价》，识别了交、直流无间隙金属氧化物避雷器、金属氧化物电阻片销售的销售等</w:t>
            </w:r>
            <w:r>
              <w:rPr>
                <w:rFonts w:hint="eastAsia" w:ascii="宋体" w:hAnsi="宋体" w:eastAsia="宋体" w:cs="宋体"/>
                <w:sz w:val="21"/>
                <w:szCs w:val="21"/>
                <w:highlight w:val="none"/>
                <w:lang w:val="en-US" w:eastAsia="zh-CN"/>
              </w:rPr>
              <w:t>危险源，抽查如下：线路短路/易燃物遇明火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引起火灾、意外交通事故等。见《不可接受危险源清单》，火灾伤害、安全事故</w:t>
            </w:r>
            <w:r>
              <w:rPr>
                <w:rFonts w:hint="eastAsia" w:ascii="宋体" w:hAnsi="宋体" w:eastAsia="宋体" w:cs="宋体"/>
                <w:sz w:val="21"/>
                <w:szCs w:val="21"/>
                <w:highlight w:val="none"/>
                <w:lang w:val="en-US" w:eastAsia="zh-CN"/>
              </w:rPr>
              <w:t>。</w:t>
            </w:r>
          </w:p>
          <w:p>
            <w:pPr>
              <w:spacing w:line="360" w:lineRule="auto"/>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sz w:val="21"/>
                <w:szCs w:val="21"/>
                <w:highlight w:val="none"/>
                <w:lang w:val="en-US" w:eastAsia="zh-CN"/>
              </w:rPr>
              <w:t>以上重要环境因素清单、重要危险因素清单中制定了针对性控制措施，措施基本有效。</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本部门应执行的运行控制文件包括：产品销售过程控制程序、环境、职业健康安全运行控制程序、与顾客有关过程控制程序等。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cs="宋体"/>
                <w:sz w:val="21"/>
                <w:szCs w:val="21"/>
                <w:lang w:eastAsia="zh-CN"/>
              </w:rPr>
              <w:t>销售部</w:t>
            </w:r>
            <w:r>
              <w:rPr>
                <w:rFonts w:hint="eastAsia" w:ascii="宋体" w:hAnsi="宋体" w:eastAsia="宋体" w:cs="宋体"/>
                <w:sz w:val="21"/>
                <w:szCs w:val="21"/>
              </w:rPr>
              <w:t>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办公过程产生的固废按办公室要求放到指定地点，现场查看无混放现象；办公用品按要求由</w:t>
            </w:r>
            <w:r>
              <w:rPr>
                <w:rFonts w:hint="eastAsia"/>
                <w:sz w:val="21"/>
                <w:szCs w:val="21"/>
                <w:lang w:eastAsia="zh-CN"/>
              </w:rPr>
              <w:t>行政人力资源部</w:t>
            </w:r>
            <w:r>
              <w:rPr>
                <w:rFonts w:hint="eastAsia" w:ascii="宋体" w:hAnsi="宋体" w:eastAsia="宋体" w:cs="宋体"/>
                <w:sz w:val="21"/>
                <w:szCs w:val="21"/>
              </w:rPr>
              <w:t xml:space="preserve">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提供了致相关方的一封信，通过建议书告知各位来访人员公司有关安全方面应注意的事项及相关规定。有发放记录。提供相关方安全管理协议。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提供“需要重点施加影响的相关方一览表”，包括原材料供方、外包方、客户等。</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 w:val="21"/>
                <w:szCs w:val="21"/>
              </w:rPr>
              <w:t>现场查看办公室设备、电器状态良好，配置了灭火器，无火灾、触电隐患，废弃物无混放现象。</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Times New Roman"/>
                <w:szCs w:val="21"/>
              </w:rPr>
            </w:pPr>
            <w:r>
              <w:rPr>
                <w:rFonts w:hint="eastAsia" w:ascii="宋体" w:hAnsi="宋体"/>
                <w:szCs w:val="21"/>
              </w:rPr>
              <w:t>提</w:t>
            </w:r>
            <w:r>
              <w:rPr>
                <w:rFonts w:hint="eastAsia" w:ascii="宋体" w:hAnsi="宋体" w:eastAsia="宋体" w:cs="Times New Roman"/>
                <w:szCs w:val="21"/>
              </w:rPr>
              <w:t>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default"/>
                <w:lang w:val="en-US"/>
              </w:rPr>
            </w:pPr>
            <w:r>
              <w:rPr>
                <w:rFonts w:hint="eastAsia" w:ascii="Times New Roman" w:hAnsi="Times New Roman" w:eastAsia="宋体" w:cs="Times New Roman"/>
                <w:szCs w:val="22"/>
              </w:rPr>
              <w:t>查消防灭火演练，演练时间202</w:t>
            </w:r>
            <w:r>
              <w:rPr>
                <w:rFonts w:hint="eastAsia" w:cs="Times New Roman"/>
                <w:szCs w:val="22"/>
                <w:lang w:val="en-US" w:eastAsia="zh-CN"/>
              </w:rPr>
              <w:t>1</w:t>
            </w:r>
            <w:r>
              <w:rPr>
                <w:rFonts w:hint="eastAsia" w:ascii="Times New Roman" w:hAnsi="Times New Roman" w:eastAsia="宋体" w:cs="Times New Roman"/>
                <w:szCs w:val="22"/>
              </w:rPr>
              <w:t>年</w:t>
            </w:r>
            <w:r>
              <w:rPr>
                <w:rFonts w:hint="eastAsia" w:cs="Times New Roman"/>
                <w:szCs w:val="22"/>
                <w:lang w:val="en-US" w:eastAsia="zh-CN"/>
              </w:rPr>
              <w:t>11</w:t>
            </w:r>
            <w:r>
              <w:rPr>
                <w:rFonts w:hint="eastAsia" w:ascii="Times New Roman" w:hAnsi="Times New Roman" w:eastAsia="宋体" w:cs="Times New Roman"/>
                <w:szCs w:val="22"/>
              </w:rPr>
              <w:t>月</w:t>
            </w:r>
            <w:r>
              <w:rPr>
                <w:rFonts w:hint="eastAsia" w:cs="Times New Roman"/>
                <w:szCs w:val="22"/>
                <w:lang w:val="en-US" w:eastAsia="zh-CN"/>
              </w:rPr>
              <w:t>1</w:t>
            </w:r>
            <w:r>
              <w:rPr>
                <w:rFonts w:hint="eastAsia" w:ascii="Times New Roman" w:hAnsi="Times New Roman" w:eastAsia="宋体" w:cs="Times New Roman"/>
                <w:szCs w:val="22"/>
              </w:rPr>
              <w:t>日</w:t>
            </w:r>
            <w:r>
              <w:rPr>
                <w:rFonts w:hint="eastAsia" w:cs="Times New Roman"/>
                <w:szCs w:val="22"/>
                <w:lang w:val="en-US" w:eastAsia="zh-CN"/>
              </w:rPr>
              <w:t>参加有</w:t>
            </w:r>
            <w:r>
              <w:rPr>
                <w:rFonts w:hint="eastAsia"/>
                <w:sz w:val="21"/>
                <w:szCs w:val="21"/>
                <w:lang w:eastAsia="zh-CN"/>
              </w:rPr>
              <w:t>行政人力资源部</w:t>
            </w:r>
            <w:r>
              <w:rPr>
                <w:rFonts w:hint="eastAsia"/>
                <w:sz w:val="21"/>
                <w:szCs w:val="21"/>
                <w:lang w:val="en-US" w:eastAsia="zh-CN"/>
              </w:rPr>
              <w:t>组织的消防演练。</w:t>
            </w:r>
          </w:p>
          <w:p>
            <w:pPr>
              <w:spacing w:line="360" w:lineRule="auto"/>
              <w:rPr>
                <w:rFonts w:hint="eastAsia" w:ascii="宋体" w:hAnsi="宋体" w:eastAsia="宋体" w:cs="Times New Roman"/>
                <w:szCs w:val="21"/>
              </w:rPr>
            </w:pPr>
            <w:r>
              <w:rPr>
                <w:rFonts w:hint="eastAsia"/>
              </w:rPr>
              <w:t>目前未发生火灾、人身伤害等事故。</w:t>
            </w:r>
            <w:r>
              <w:rPr>
                <w:rFonts w:hint="eastAsia" w:ascii="宋体" w:hAnsi="宋体" w:cs="Times New Roman"/>
                <w:szCs w:val="21"/>
                <w:lang w:val="en-US" w:eastAsia="zh-CN"/>
              </w:rPr>
              <w:t>远程</w:t>
            </w:r>
            <w:r>
              <w:rPr>
                <w:rFonts w:hint="eastAsia" w:ascii="宋体" w:hAnsi="宋体" w:eastAsia="宋体" w:cs="Times New Roman"/>
                <w:szCs w:val="21"/>
              </w:rPr>
              <w:t>查看</w:t>
            </w:r>
            <w:r>
              <w:rPr>
                <w:rFonts w:hint="eastAsia" w:ascii="宋体" w:hAnsi="宋体" w:eastAsia="宋体" w:cs="Times New Roman"/>
                <w:szCs w:val="21"/>
                <w:lang w:val="en-US" w:eastAsia="zh-CN"/>
              </w:rPr>
              <w:t>办公区</w:t>
            </w:r>
            <w:r>
              <w:rPr>
                <w:rFonts w:hint="eastAsia" w:ascii="宋体" w:hAnsi="宋体" w:eastAsia="宋体" w:cs="Times New Roman"/>
                <w:szCs w:val="21"/>
              </w:rPr>
              <w:t>有消防栓和灭火器若干个，状态良好。</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Times New Roman"/>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BF527A1"/>
    <w:rsid w:val="23E42781"/>
    <w:rsid w:val="75E277FA"/>
    <w:rsid w:val="7E48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2022-04-22T23:30:34Z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262C8520D39B42E5A0DBFC66DAF51CE9</vt:lpwstr>
  </property>
  <property fmtid="{D5CDD505-2E9C-101B-9397-08002B2CF9AE}" pid="3" name="KSOProductBuildVer">
    <vt:lpwstr>2052-11.1.0.11636</vt:lpwstr>
  </property>
  <property fmtid="{D5CDD505-2E9C-101B-9397-08002B2CF9AE}" pid="4" name="commondata">
    <vt:lpwstr>eyJoZGlkIjoiMjJhN2U4Y2Q5MGE2Mzc1MDlkNDVmNzZkYmRlMTYyYjcifQ==</vt:lpwstr>
  </property>
</Properties>
</file>