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重庆科达明博电力设备有限公司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</w:rPr>
              <w:t>杨北川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姜海军，强兴</w:t>
            </w:r>
            <w:bookmarkEnd w:id="2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3" w:name="审核日期"/>
            <w:r>
              <w:rPr>
                <w:color w:val="000000"/>
              </w:rPr>
              <w:t>2022年04月25日 上午至2022年04月25日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：91500224MA5UT11006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2017年8月28日至永久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研发、生产、销售:智能电力设备、电力管道、电力金具、铁附件、标示牌、防鸟设备、带电作业工具、消防器材、个体防护设备、电力安全器具(验电器、接地线、令克棒、立式围栏、拉线保护套)、移动式遮拦、安全带、安全帽);销售:五金工具、电器、仪器仪表、劳保用品，化工产品销售(不含许可类化工产品)(除依法须经批准的项目外，凭营业执照依法自主开展经营活动)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Q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</w:t>
            </w:r>
          </w:p>
          <w:p>
            <w:r>
              <w:t>E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t>O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生产地址"/>
            <w:r>
              <w:rPr>
                <w:sz w:val="21"/>
                <w:szCs w:val="21"/>
              </w:rPr>
              <w:t>重庆市铜梁区大庙镇金桂大道东段1号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重庆市铜梁区大庙镇金桂大道东段1号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287"/>
              </w:tabs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</w:t>
            </w:r>
          </w:p>
          <w:p>
            <w:pPr>
              <w:numPr>
                <w:ilvl w:val="0"/>
                <w:numId w:val="1"/>
              </w:numPr>
              <w:tabs>
                <w:tab w:val="left" w:pos="5287"/>
              </w:tabs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携带型短路接地线、个人保护线：</w:t>
            </w:r>
            <w:r>
              <w:rPr>
                <w:rFonts w:hint="eastAsia" w:ascii="楷体" w:hAnsi="楷体" w:eastAsia="楷体"/>
                <w:sz w:val="24"/>
              </w:rPr>
              <w:t>合股好的铜丝--截制定形--压接端子</w:t>
            </w:r>
            <w:r>
              <w:rPr>
                <w:rFonts w:ascii="楷体" w:hAnsi="楷体" w:eastAsia="楷体"/>
                <w:sz w:val="24"/>
              </w:rPr>
              <w:t>—</w:t>
            </w:r>
            <w:r>
              <w:rPr>
                <w:rFonts w:hint="eastAsia" w:ascii="楷体" w:hAnsi="楷体" w:eastAsia="楷体"/>
                <w:sz w:val="24"/>
              </w:rPr>
              <w:t>压接汇流管--检验</w:t>
            </w:r>
          </w:p>
          <w:p>
            <w:pPr>
              <w:numPr>
                <w:ilvl w:val="0"/>
                <w:numId w:val="1"/>
              </w:numPr>
              <w:tabs>
                <w:tab w:val="left" w:pos="5287"/>
              </w:tabs>
              <w:spacing w:line="36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令克棒、接地棒：</w:t>
            </w:r>
            <w:r>
              <w:rPr>
                <w:rFonts w:hint="eastAsia" w:ascii="楷体" w:hAnsi="楷体" w:eastAsia="楷体"/>
                <w:sz w:val="24"/>
              </w:rPr>
              <w:t>采购绝缘杆裁剪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安装钩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调试接地棒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加固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检验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包装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3、验电器：</w:t>
            </w:r>
            <w:r>
              <w:rPr>
                <w:rFonts w:hint="eastAsia" w:ascii="楷体" w:hAnsi="楷体" w:eastAsia="楷体"/>
                <w:sz w:val="24"/>
              </w:rPr>
              <w:t>绝缘杆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切割--连接--线路板焊接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ascii="楷体" w:hAnsi="楷体" w:eastAsia="楷体"/>
                <w:sz w:val="24"/>
              </w:rPr>
              <w:t>验电器头组装--成品检验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绝缘硬梯：</w:t>
            </w:r>
            <w:r>
              <w:rPr>
                <w:rFonts w:hint="eastAsia" w:hAnsi="楷体" w:eastAsia="楷体"/>
                <w:sz w:val="24"/>
              </w:rPr>
              <w:t>环氧玻璃型材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hAnsi="楷体" w:eastAsia="楷体"/>
                <w:sz w:val="24"/>
              </w:rPr>
              <w:t>裁剪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hAnsi="楷体" w:eastAsia="楷体"/>
                <w:sz w:val="24"/>
              </w:rPr>
              <w:t>穿孔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hAnsi="楷体" w:eastAsia="楷体"/>
                <w:sz w:val="24"/>
              </w:rPr>
              <w:t>组装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hAnsi="楷体" w:eastAsia="楷体"/>
                <w:sz w:val="24"/>
              </w:rPr>
              <w:t>检验</w:t>
            </w:r>
            <w:r>
              <w:rPr>
                <w:rFonts w:hint="eastAsia" w:ascii="楷体" w:hAnsi="楷体" w:eastAsia="楷体" w:cs="楷体"/>
                <w:sz w:val="24"/>
              </w:rPr>
              <w:t>--</w:t>
            </w:r>
            <w:r>
              <w:rPr>
                <w:rFonts w:hint="eastAsia" w:hAnsi="楷体" w:eastAsia="楷体"/>
                <w:sz w:val="24"/>
              </w:rPr>
              <w:t>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hAnsi="楷体" w:eastAsia="楷体"/>
                <w:sz w:val="24"/>
              </w:rPr>
              <w:t>5、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登高脚扣：</w:t>
            </w:r>
            <w:r>
              <w:rPr>
                <w:rFonts w:hint="eastAsia" w:ascii="楷体" w:hAnsi="楷体" w:eastAsia="楷体" w:cs="楷体"/>
                <w:sz w:val="24"/>
              </w:rPr>
              <w:t>底与大镰穿接--顶部上保险螺丝--检查--装箱--入库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安全围栏：</w:t>
            </w:r>
            <w:r>
              <w:rPr>
                <w:rFonts w:hint="eastAsia" w:ascii="楷体" w:hAnsi="楷体" w:eastAsia="楷体" w:cs="楷体"/>
                <w:sz w:val="24"/>
              </w:rPr>
              <w:t>领料--裁断--组装--检验--包装--入库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安全工具柜：喷塑好的框架—安装门和玻璃—试验—包装——入库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8、拉线保护套：</w:t>
            </w:r>
            <w:r>
              <w:rPr>
                <w:rFonts w:hint="eastAsia" w:ascii="楷体" w:hAnsi="楷体" w:eastAsia="楷体" w:cs="楷体"/>
                <w:sz w:val="24"/>
              </w:rPr>
              <w:t>硫化成型管材--裁剪--缩管--检验--包装--入库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防鸟设备：防鸟刺：下料-钻孔-底座组装-冲压钢丝-检验—包装入库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驱鸟器：下料-钻孔-折弯—底座安装-组装镜片-检验—包装入库</w:t>
            </w:r>
          </w:p>
          <w:p>
            <w:pPr>
              <w:spacing w:line="360" w:lineRule="auto"/>
              <w:rPr>
                <w:rFonts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10、标识牌：反光膜、铝板--覆膜好的反光膜--裁剪--打孔--粘贴--检验--包装--入库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11、避雷器：阀片与电极管装配--模压--整形--连接电极螺丝--成品检验（泄露电流）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12、隔离开关、熔断器：配件组装—试验—包装入库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13、绝缘子：金属件与芯棒装配--硅橡胶压接锁口--机械检验（拉力）--整形--检验</w:t>
            </w:r>
          </w:p>
          <w:p>
            <w:pPr>
              <w:tabs>
                <w:tab w:val="left" w:pos="5287"/>
              </w:tabs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14、铁附件：钢板、角铁--裁剪--打孔-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-焊接</w:t>
            </w:r>
            <w:r>
              <w:rPr>
                <w:rFonts w:hint="eastAsia" w:ascii="楷体" w:hAnsi="楷体" w:eastAsia="楷体" w:cs="楷体"/>
                <w:sz w:val="24"/>
              </w:rPr>
              <w:t>--镀锌（外包）--检验-入库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15、电缆保护套：</w:t>
            </w:r>
            <w:r>
              <w:rPr>
                <w:rFonts w:hint="eastAsia" w:ascii="楷体" w:hAnsi="楷体" w:eastAsia="楷体"/>
                <w:sz w:val="24"/>
              </w:rPr>
              <w:t>裁管-组装-贴膜-检验-包装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</w:rPr>
              <w:t>16、销售服务过程：客户询价—报价—签订合同/下采购单—采购物资—检验—收尾款—备货发货—到货跟踪—售后服务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管理手册发布的时间：2021年08月10日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标准宣贯的时间：2021年08月10日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镀锌、运输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组织文件化的管理方针已制定，内容为：产品如人品，质量如生命；建筑与绿色共生，发展与生态协调；质量是企业的生命，安全是生命的保障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产品生产一次性检验合格率≥95%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一次合格数量/总生产产品数量*100%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销售产品合格率100%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交货合格数量/客户总数量*100%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处理顾客反馈信息率和售后服务100%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及时处理客户信息和售后服务数/总数*100%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顾客满意度≥91%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风险应急举措实施率100%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风险措施应对数量/风险总数量*100%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固废物分类处置率100%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固废分类处理情况/总固废情况*100%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火灾发生为零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事故发生情况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控制噪音污染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实际情况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工伤频率小于2‰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人员伤害事件情况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无重伤及死亡事故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人员伤害事件情况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火灾发生为零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事故发生情况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杜绝触电事故的发生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事故发生情况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楷体" w:eastAsia="楷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楷体" w:eastAsia="楷体" w:cs="Times New Roman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2022年3月1日-2日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2022年3月16日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根据本公司产品和服务特点，公司生产的部分产品均按照国家标准、客户要求进行生产，故不适用于8.3条款内容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质量关键过程（工序）：焊接过程、装配过程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电压、尺寸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需要确认的过程（工序）：焊接过程、装配过程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携带型短路接地线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电力工业电力安全工器具质量监督检验测试中心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编号：DAZ2101272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2021年3月12日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DL/T879-2004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带电作业用便携式接地和接地短路装置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  <w:r>
              <w:rPr>
                <w:rFonts w:hint="eastAsia"/>
                <w:color w:val="000000"/>
                <w:lang w:val="en-US" w:eastAsia="zh-CN"/>
              </w:rPr>
              <w:t>绝缘伸缩围栏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电力工业电力安全工器具质量监督检验测试中心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DAZ2100666</w:t>
            </w:r>
            <w:r>
              <w:rPr>
                <w:rFonts w:hint="eastAsia"/>
                <w:color w:val="000000"/>
              </w:rPr>
              <w:t>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执行标准：GB/T 36291.1-2018《电力安全设施配置技术规范 第1部分:变电站》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满意度100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，主要有切割机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电焊机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台虎钳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台钻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折弯机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主要有电子万能试验机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游标卡尺，千分尺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铜排水【2021】字第036号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2026年12月12日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2021.8.21进行了火灾应急演练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2021年8月18日进行火灾应急演练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bookmarkStart w:id="6" w:name="_GoBack"/>
      <w:bookmarkEnd w:id="6"/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582C9"/>
    <w:multiLevelType w:val="singleLevel"/>
    <w:tmpl w:val="D34582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28315C6"/>
    <w:rsid w:val="201F461F"/>
    <w:rsid w:val="21A15E4B"/>
    <w:rsid w:val="32E43655"/>
    <w:rsid w:val="33FB64FE"/>
    <w:rsid w:val="4553295A"/>
    <w:rsid w:val="56BA7BC1"/>
    <w:rsid w:val="6FC31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7966</Words>
  <Characters>8323</Characters>
  <Lines>92</Lines>
  <Paragraphs>26</Paragraphs>
  <TotalTime>35</TotalTime>
  <ScaleCrop>false</ScaleCrop>
  <LinksUpToDate>false</LinksUpToDate>
  <CharactersWithSpaces>9575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2022-05-03T03:01:06Z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