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960"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受审核部门：管理层     主管领导/管理者代表：高彩红     陪同人员：李兴利</w:t>
            </w:r>
          </w:p>
        </w:tc>
        <w:tc>
          <w:tcPr>
            <w:tcW w:w="1585"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imes New Roman" w:hAnsi="Times New Roman" w:eastAsia="宋体" w:cs="宋体"/>
                <w:lang w:val="en-US" w:eastAsia="zh-CN"/>
              </w:rPr>
            </w:pPr>
          </w:p>
        </w:tc>
        <w:tc>
          <w:tcPr>
            <w:tcW w:w="960" w:type="dxa"/>
            <w:vMerge w:val="continue"/>
            <w:vAlign w:val="center"/>
          </w:tcPr>
          <w:p>
            <w:pPr>
              <w:rPr>
                <w:rFonts w:hint="eastAsia" w:ascii="Times New Roman" w:hAnsi="Times New Roman" w:eastAsia="宋体" w:cs="宋体"/>
                <w:lang w:val="en-US" w:eastAsia="zh-CN"/>
              </w:rPr>
            </w:pP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审核员：</w:t>
            </w:r>
            <w:bookmarkStart w:id="0" w:name="审核组成员不含组长"/>
            <w:r>
              <w:rPr>
                <w:rFonts w:hint="eastAsia" w:ascii="Times New Roman" w:hAnsi="Times New Roman" w:eastAsia="宋体" w:cs="宋体"/>
                <w:lang w:val="en-US" w:eastAsia="zh-CN"/>
              </w:rPr>
              <w:t>李丽英</w:t>
            </w:r>
            <w:bookmarkEnd w:id="0"/>
            <w:r>
              <w:rPr>
                <w:rFonts w:hint="eastAsia" w:ascii="Times New Roman" w:hAnsi="Times New Roman" w:eastAsia="宋体" w:cs="宋体"/>
                <w:lang w:val="en-US" w:eastAsia="zh-CN"/>
              </w:rPr>
              <w:t xml:space="preserve">         审核时间：</w:t>
            </w:r>
            <w:bookmarkStart w:id="1" w:name="审核日期"/>
            <w:r>
              <w:rPr>
                <w:rFonts w:hint="eastAsia" w:ascii="Times New Roman" w:hAnsi="Times New Roman" w:eastAsia="宋体" w:cs="宋体"/>
                <w:lang w:val="en-US" w:eastAsia="zh-CN"/>
              </w:rPr>
              <w:t xml:space="preserve">2022年04月07日 </w:t>
            </w:r>
            <w:bookmarkEnd w:id="1"/>
          </w:p>
        </w:tc>
        <w:tc>
          <w:tcPr>
            <w:tcW w:w="158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pPr>
              <w:rPr>
                <w:rFonts w:hint="eastAsia" w:ascii="Times New Roman" w:hAnsi="Times New Roman" w:eastAsia="宋体" w:cs="宋体"/>
                <w:lang w:val="en-US" w:eastAsia="zh-CN"/>
              </w:rPr>
            </w:pPr>
          </w:p>
        </w:tc>
        <w:tc>
          <w:tcPr>
            <w:tcW w:w="960" w:type="dxa"/>
            <w:vMerge w:val="continue"/>
            <w:vAlign w:val="center"/>
          </w:tcPr>
          <w:p>
            <w:pPr>
              <w:rPr>
                <w:rFonts w:hint="eastAsia" w:ascii="Times New Roman" w:hAnsi="Times New Roman" w:eastAsia="宋体" w:cs="宋体"/>
                <w:lang w:val="en-US" w:eastAsia="zh-CN"/>
              </w:rPr>
            </w:pP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审核条款：</w:t>
            </w:r>
            <w:r>
              <w:rPr>
                <w:rFonts w:hint="default" w:ascii="Times New Roman" w:hAnsi="Times New Roman" w:eastAsia="宋体" w:cs="宋体"/>
                <w:lang w:val="en-US" w:eastAsia="zh-CN"/>
              </w:rPr>
              <w:t>QEO4.1/4.2/4.3/4.4/5.1/5.2/5.3/6.1/6.2/7.1/9.3/10.1/10.3/</w:t>
            </w:r>
            <w:r>
              <w:rPr>
                <w:rFonts w:hint="eastAsia" w:ascii="Times New Roman" w:hAnsi="Times New Roman" w:eastAsia="宋体" w:cs="宋体"/>
                <w:lang w:val="en-US" w:eastAsia="zh-CN"/>
              </w:rPr>
              <w:t>；Q</w:t>
            </w:r>
            <w:r>
              <w:rPr>
                <w:rFonts w:hint="default" w:ascii="Times New Roman" w:hAnsi="Times New Roman" w:eastAsia="宋体" w:cs="宋体"/>
                <w:lang w:val="en-US" w:eastAsia="zh-CN"/>
              </w:rPr>
              <w:t>6.3</w:t>
            </w:r>
          </w:p>
        </w:tc>
        <w:tc>
          <w:tcPr>
            <w:tcW w:w="158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组织及其环境</w:t>
            </w:r>
          </w:p>
        </w:tc>
        <w:tc>
          <w:tcPr>
            <w:tcW w:w="960" w:type="dxa"/>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QEO</w:t>
            </w:r>
            <w:r>
              <w:rPr>
                <w:rFonts w:hint="eastAsia" w:ascii="Times New Roman" w:hAnsi="Times New Roman" w:eastAsia="宋体" w:cs="宋体"/>
                <w:lang w:val="en-US" w:eastAsia="zh-CN"/>
              </w:rPr>
              <w:t>4.1</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河北彩子广告有限公司是一家从事日用百货、LED显示屏、灯箱、照明设备、工艺美术品、标识标牌、电子产品、金属制品、塑料制品、文化用品、体育用品、办公设备、安防设备的销售及服务企业。是为客户提供专业的信息产品、服务与解决方案的高新技术企业，注册资金300万元，是一家专业广告公司。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自创立以来，始终坚持“科技、服务、创新”的理念，贯彻“以市场为导向、以客户为中心、以满意为目标、以创新求发展”的原则，把最前沿的高科技应用到本土的经济建设和社会发展当中。公司的核心竞争力是诚信、创新。公司的运行机制是总经理负责制。公司的服务原则是以“产品+项目”的方式为用户提供现场实施服务，公司自始至终执行着计划、预算、组织与控制的规则，所有工作以满足用户需求为最终目标。公司具有先进完善的管理体制，管理手段注重对高新技术的追踪与学习，对产品质量有严格的要求，采用MBO目标管理和平衡计分法相结合的管理方法，将公司的长期发展战略与短期目标实现有机结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最高管理者组织专题环境分析会，分析确定与公司宗旨、目标和战略方向相关并影响其实现质量、环境和职业健康安全预期结果能力的各种内部、外部问题或因素，形成《内外环境分析报告》。内部、外部问题或因素的分析结果，作为建立管理体系考虑的因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公司确定与其目标和战略方向相关并影响实现质量、环境、职业健康安全管理体系预期结果的各种外部和内部因素。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内部因素：企业文化和价值观，公司战略目标；人力把控等。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外部因素：法律法规环境；社会环境；市场环境；整治环境等因素。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公司管理层和各部门，根据涉及到本部门的内外部因素，在内审、管理评审和年度工作总结报告中应进行分析。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提供2021年10月10日企业编制并批准的《内部环境因素分析表》、《外部环境因素分析表》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drawing>
                <wp:inline distT="0" distB="0" distL="114300" distR="114300">
                  <wp:extent cx="6206490" cy="707390"/>
                  <wp:effectExtent l="0" t="0" r="381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206490" cy="707390"/>
                          </a:xfrm>
                          <a:prstGeom prst="rect">
                            <a:avLst/>
                          </a:prstGeom>
                          <a:noFill/>
                          <a:ln>
                            <a:noFill/>
                          </a:ln>
                        </pic:spPr>
                      </pic:pic>
                    </a:graphicData>
                  </a:graphic>
                </wp:inline>
              </w:drawing>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drawing>
                <wp:inline distT="0" distB="0" distL="114300" distR="114300">
                  <wp:extent cx="6207125" cy="721360"/>
                  <wp:effectExtent l="0" t="0" r="3175"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6207125" cy="721360"/>
                          </a:xfrm>
                          <a:prstGeom prst="rect">
                            <a:avLst/>
                          </a:prstGeom>
                          <a:noFill/>
                          <a:ln>
                            <a:noFill/>
                          </a:ln>
                        </pic:spPr>
                      </pic:pic>
                    </a:graphicData>
                  </a:graphic>
                </wp:inline>
              </w:drawing>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60" w:type="dxa"/>
          </w:tcPr>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相关方的需求和希望</w:t>
            </w:r>
          </w:p>
        </w:tc>
        <w:tc>
          <w:tcPr>
            <w:tcW w:w="960" w:type="dxa"/>
            <w:vAlign w:val="top"/>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QEO</w:t>
            </w:r>
            <w:r>
              <w:rPr>
                <w:rFonts w:hint="eastAsia" w:ascii="Times New Roman" w:hAnsi="Times New Roman" w:eastAsia="宋体" w:cs="宋体"/>
                <w:lang w:val="en-US" w:eastAsia="zh-CN"/>
              </w:rPr>
              <w:t>4.2</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公司办公室每年确定确定与质量、环境和职业健康安全管理体系有关的相关方，形成《公司相关方名录》。公司的相关方可包括：顾客、业主、员工、为公司工作的人员、监督机关等。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室通过宣传、调查方法和网络确定相关方的需求、期望及合规义务，其需求、期望及合规义务登记在《公司相关方名录》中。针对相关方需求和期望的变化情况，办公室及时确定相关方的需求、期望和合规义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相关方及其需求、期望和合规义务分析结果，作为建立管理体系的考虑因素。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提供2021年10月10日编制并批准的《相关方列表》识别了相关方包括：客户、供应商、员工等，并制定了需求和期望、影响程度分析、应对措施、效果评价、负责人等进行管理。基本符合要求。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drawing>
                <wp:inline distT="0" distB="0" distL="114300" distR="114300">
                  <wp:extent cx="5941060" cy="605790"/>
                  <wp:effectExtent l="0" t="0" r="2540" b="381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5941060" cy="605790"/>
                          </a:xfrm>
                          <a:prstGeom prst="rect">
                            <a:avLst/>
                          </a:prstGeom>
                          <a:noFill/>
                          <a:ln>
                            <a:noFill/>
                          </a:ln>
                        </pic:spPr>
                      </pic:pic>
                    </a:graphicData>
                  </a:graphic>
                </wp:inline>
              </w:drawing>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160" w:type="dxa"/>
          </w:tcPr>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管理体系的范围</w:t>
            </w:r>
          </w:p>
        </w:tc>
        <w:tc>
          <w:tcPr>
            <w:tcW w:w="960" w:type="dxa"/>
            <w:vAlign w:val="top"/>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QEO</w:t>
            </w:r>
            <w:r>
              <w:rPr>
                <w:rFonts w:hint="eastAsia" w:ascii="Times New Roman" w:hAnsi="Times New Roman" w:eastAsia="宋体" w:cs="宋体"/>
                <w:lang w:val="en-US" w:eastAsia="zh-CN"/>
              </w:rPr>
              <w:t>4.3</w:t>
            </w:r>
          </w:p>
        </w:tc>
        <w:tc>
          <w:tcPr>
            <w:tcW w:w="10004" w:type="dxa"/>
          </w:tcPr>
          <w:p>
            <w:pPr>
              <w:rPr>
                <w:rFonts w:hint="default" w:ascii="Times New Roman" w:hAnsi="Times New Roman" w:eastAsia="宋体" w:cs="宋体"/>
                <w:lang w:val="en-US" w:eastAsia="zh-CN"/>
              </w:rPr>
            </w:pPr>
            <w:bookmarkStart w:id="2" w:name="审核范围"/>
            <w:r>
              <w:rPr>
                <w:rFonts w:hint="eastAsia" w:ascii="Times New Roman" w:hAnsi="Times New Roman" w:eastAsia="宋体" w:cs="宋体"/>
                <w:lang w:val="en-US" w:eastAsia="zh-CN"/>
              </w:rPr>
              <w:t>本次审核确定的审核范围：</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Q：</w:t>
            </w:r>
            <w:r>
              <w:rPr>
                <w:rFonts w:hint="eastAsia" w:ascii="Times New Roman" w:hAnsi="Times New Roman" w:eastAsia="宋体" w:cs="宋体"/>
                <w:lang w:val="en-US" w:eastAsia="zh-CN"/>
              </w:rPr>
              <w:t>日用百货、LED显示屏、灯箱、照明设备、工艺美术品、标识标牌、电子产品、金属制品、塑料制品、文化用品、体育用品、办公设备、安防设备的销售</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E：</w:t>
            </w:r>
            <w:r>
              <w:rPr>
                <w:rFonts w:hint="eastAsia" w:ascii="Times New Roman" w:hAnsi="Times New Roman" w:eastAsia="宋体" w:cs="宋体"/>
                <w:lang w:val="en-US" w:eastAsia="zh-CN"/>
              </w:rPr>
              <w:t>日用百货、LED显示屏、灯箱、照明设备、工艺美术品、标识标牌、电子产品、金属制品、塑料制品、文化用品、体育用品、办公设备、安防设备的销售</w:t>
            </w:r>
            <w:r>
              <w:rPr>
                <w:rFonts w:hint="default" w:ascii="Times New Roman" w:hAnsi="Times New Roman" w:eastAsia="宋体" w:cs="宋体"/>
                <w:lang w:val="en-US" w:eastAsia="zh-CN"/>
              </w:rPr>
              <w:t>所涉及场所的相关环境管理活动</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O：</w:t>
            </w:r>
            <w:r>
              <w:rPr>
                <w:rFonts w:hint="eastAsia" w:ascii="Times New Roman" w:hAnsi="Times New Roman" w:eastAsia="宋体" w:cs="宋体"/>
                <w:lang w:val="en-US" w:eastAsia="zh-CN"/>
              </w:rPr>
              <w:t>日用百货、LED显示屏、灯箱、照明设备、工艺美术品、标识标牌、电子产品、金属制品、塑料制品、文化用品、体育用品、办公设备、安防设备的销售</w:t>
            </w:r>
            <w:r>
              <w:rPr>
                <w:rFonts w:hint="default" w:ascii="Times New Roman" w:hAnsi="Times New Roman" w:eastAsia="宋体" w:cs="宋体"/>
                <w:lang w:val="en-US" w:eastAsia="zh-CN"/>
              </w:rPr>
              <w:t>所涉及场所的相关职业健康安全管理活动</w:t>
            </w:r>
            <w:bookmarkEnd w:id="2"/>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范围一致，符合要求。</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管理体系及其过程</w:t>
            </w:r>
          </w:p>
        </w:tc>
        <w:tc>
          <w:tcPr>
            <w:tcW w:w="960" w:type="dxa"/>
            <w:vAlign w:val="top"/>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QEO</w:t>
            </w:r>
            <w:r>
              <w:rPr>
                <w:rFonts w:hint="eastAsia" w:ascii="Times New Roman" w:hAnsi="Times New Roman" w:eastAsia="宋体" w:cs="宋体"/>
                <w:lang w:val="en-US" w:eastAsia="zh-CN"/>
              </w:rPr>
              <w:t>4.4</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该公司按照GB/T19001-2016《质量管理体系 要求》、GB/T24001-2016《环境管理体系 要求及使用指南》、GB/T45001-2020《职业健康安全管理体系要求及使用指南》标准，结合本公司产品特点和实际需要,建立、实施、保持和持续改进本公司的质量、环境和职业健康安全管理体系。确定所需的过程及在本公司内的相互作用。包括：对管理体系所需过程进行识别和确定,确定这些过程的输入和期望的输出；确定各过程之间的顺序和相互作用；制定确保过程有效运行所需的准则和方法（包括监视、测量和绩效指标），以确保这些过程的运行和有效控制；确定与这些过程相关的责任和权限；确定并确保获得这些过程所需的资源；按照管理手册要求确定的风险和机遇；评价这些过程，实施所需的变更，以确保实现这些过程的预期结果；改进过程和管理体系；根据公司的管理体系运行绩效的要求，管理体系应形成文件和相关的记录。包括《管理手册》、支持性文件和记录。</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公司通过对过程的输入、输出及开展的活动和投入的资源做出明确的规定，给出控制管理体系的准则和方法，包括程序文件、管理制度、业务规范、环境和职业健康安全管理方案及实施细则等。</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领导作用和承诺</w:t>
            </w:r>
          </w:p>
        </w:tc>
        <w:tc>
          <w:tcPr>
            <w:tcW w:w="960" w:type="dxa"/>
            <w:vAlign w:val="top"/>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QEO</w:t>
            </w:r>
            <w:r>
              <w:rPr>
                <w:rFonts w:hint="eastAsia" w:ascii="Times New Roman" w:hAnsi="Times New Roman" w:eastAsia="宋体" w:cs="宋体"/>
                <w:lang w:val="en-US" w:eastAsia="zh-CN"/>
              </w:rPr>
              <w:t>5.1</w:t>
            </w:r>
          </w:p>
        </w:tc>
        <w:tc>
          <w:tcPr>
            <w:tcW w:w="10004"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总经理通过以下活动证实其在管理体系方面的作用和承诺：对公司的质量、环境和职业健康安全管理体系的有效性承担责任；确保公司管理方针和目标的建立,并确保其与公司的战略方向及所处的环境相一致；确保公司质量、环境和职业健康安全管理体系要求融入到公司的各种业务过程；确保获得公司质量、环境和职业健康安全管理体系所需的资源；就有效的质量、环境和职业健康安全管理重要性和符合其管理体系要求的重要性进行沟通；确保公司的质量、环境和职业健康安全管理体系体系使用过程方法和基于风险的思维；确保公司质量、环境和职业健康安全管理体系的预期结果；促使、指导和支持员工努力提高管理体系的有效性，并对管理体系的有效性做出贡献；推动质量、环境和职业健康安全管理体系的改进；支持其他管理者履行其相关领域的职责。</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以顾客为关注焦点</w:t>
            </w:r>
          </w:p>
        </w:tc>
        <w:tc>
          <w:tcPr>
            <w:tcW w:w="960" w:type="dxa"/>
            <w:vAlign w:val="top"/>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Q</w:t>
            </w:r>
            <w:r>
              <w:rPr>
                <w:rFonts w:hint="eastAsia" w:ascii="Times New Roman" w:hAnsi="Times New Roman" w:eastAsia="宋体" w:cs="宋体"/>
                <w:lang w:val="en-US" w:eastAsia="zh-CN"/>
              </w:rPr>
              <w:t>5.1.2</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的生存和发展依存客户，总经理证实其以顾客为关注焦点的领导作用和承诺，以增强客户满意为目的，公司确定、理解客户的要求及适用的法律法规要求，确定能够影响服务符合性以及增强顾客满意能力的风险和机遇，致力于客户满意。为此总经理理要做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在全公司牢固树立以“客户为关注焦点”的原则,营造满足并争取超越客户的期望和需求的市场经济意识,以“所有客户都满意”为公司的经营管理目标,通过调研、预测和与客户直接接触了解客户的需求。具体执行《与顾客有关过程控制程序》的规定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2)将客户的需求和期望转化为对公司的要求。这些要求包括服务要求、过程要求和管理体系要求等，只有完全满足这些需求和期望时，才能达到客户满意。“以客户为关注焦点”原则的落实具体执行《与顾客有关过程控制程序》和《顾客满意度调查处理程序》的规定要求。</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管理方针</w:t>
            </w:r>
          </w:p>
        </w:tc>
        <w:tc>
          <w:tcPr>
            <w:tcW w:w="960" w:type="dxa"/>
            <w:vAlign w:val="top"/>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QEO</w:t>
            </w:r>
            <w:r>
              <w:rPr>
                <w:rFonts w:hint="eastAsia" w:ascii="Times New Roman" w:hAnsi="Times New Roman" w:eastAsia="宋体" w:cs="宋体"/>
                <w:lang w:val="en-US" w:eastAsia="zh-CN"/>
              </w:rPr>
              <w:t>5.2</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公司的质量、环境和职业健康安全方针：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守法诚信追求精品，预防污染保护环境；关爱员工健康安全，持续改进追求卓越。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体现了公司对产品质量的控制、生产过程的环境影响的控制以及对员工的职业健康和安全的关怀。</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管理方针作为形成文件的信息，可获得并保持：在公司内得到沟通、理解和应用，传达到所有在公司控制下工作的人员； 适宜时，可为有关相关方获取。 </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办公室负责对管理方针进行宣贯培训，确保全体员工理解方正的内涵，并在工作中贯彻落实。每年年度工作总结应对方针的持续适宜性进行评价，以确保其与公司保持相关的和适宜。</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组织的岗位、职责权限</w:t>
            </w:r>
          </w:p>
        </w:tc>
        <w:tc>
          <w:tcPr>
            <w:tcW w:w="960" w:type="dxa"/>
            <w:vAlign w:val="top"/>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QEO</w:t>
            </w:r>
            <w:r>
              <w:rPr>
                <w:rFonts w:hint="eastAsia" w:ascii="Times New Roman" w:hAnsi="Times New Roman" w:eastAsia="宋体" w:cs="宋体"/>
                <w:lang w:val="en-US" w:eastAsia="zh-CN"/>
              </w:rPr>
              <w:t>5.3</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为使管理体系各项要求得到贯彻实施,按体系运行需要,建立了与管理体系相适应的组织结构，确定各部门的职责和权限，确保公司内相关角色的职责、权限得到分派、沟通和理解。</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公司的组织机构包括总经理带领下的办公室、采购部和销售部，具体各部门职责见部门审核记录。</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机构设置可以满足企业运营要求，职责明确。</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tcPr>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应对风险和机会的策划</w:t>
            </w:r>
            <w:r>
              <w:rPr>
                <w:rFonts w:hint="eastAsia" w:ascii="Times New Roman" w:hAnsi="Times New Roman" w:eastAsia="宋体" w:cs="宋体"/>
                <w:lang w:val="en-US" w:eastAsia="zh-CN"/>
              </w:rPr>
              <w:t>及应对措施</w:t>
            </w:r>
          </w:p>
        </w:tc>
        <w:tc>
          <w:tcPr>
            <w:tcW w:w="960" w:type="dxa"/>
            <w:vAlign w:val="top"/>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6.1.1/</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6.1.4</w:t>
            </w:r>
          </w:p>
        </w:tc>
        <w:tc>
          <w:tcPr>
            <w:tcW w:w="10004"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企业编制了《风险和机遇应对控制程序》并按照程序控制执行。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室协助管理者代表组织各部门进行风险和机遇的评价和确定。从政策、合规义务、顾客满意、有益环境影响、有害环境影响、质量投诉、履约等方面进行风险源的识别和评价，确定公司的主要风险和机遇，形成《公司主要质量、环境、职业健康安全风险和机遇清单》，为控制措施的制定提供依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在策划过程中考虑了紧急情况和变更带来的相关的风险和机遇。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2021年10月编制并批准的《风险和机遇评估分析表》分析了风险和机遇来源7种，针对每一种风险和机遇进行风险分析，制定管理措施，落实责任人，及实施时间，并定期评价措施的有效性，对风险进行控制和管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drawing>
                <wp:inline distT="0" distB="0" distL="114300" distR="114300">
                  <wp:extent cx="6207760" cy="1155700"/>
                  <wp:effectExtent l="0" t="0" r="254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6207760" cy="1155700"/>
                          </a:xfrm>
                          <a:prstGeom prst="rect">
                            <a:avLst/>
                          </a:prstGeom>
                          <a:noFill/>
                          <a:ln>
                            <a:noFill/>
                          </a:ln>
                        </pic:spPr>
                      </pic:pic>
                    </a:graphicData>
                  </a:graphic>
                </wp:inline>
              </w:drawing>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drawing>
                <wp:inline distT="0" distB="0" distL="114300" distR="114300">
                  <wp:extent cx="6206490" cy="1410970"/>
                  <wp:effectExtent l="0" t="0" r="3810" b="1143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0"/>
                          <a:stretch>
                            <a:fillRect/>
                          </a:stretch>
                        </pic:blipFill>
                        <pic:spPr>
                          <a:xfrm>
                            <a:off x="0" y="0"/>
                            <a:ext cx="6206490" cy="1410970"/>
                          </a:xfrm>
                          <a:prstGeom prst="rect">
                            <a:avLst/>
                          </a:prstGeom>
                          <a:noFill/>
                          <a:ln>
                            <a:noFill/>
                          </a:ln>
                        </pic:spPr>
                      </pic:pic>
                    </a:graphicData>
                  </a:graphic>
                </wp:inline>
              </w:drawing>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基本符合要求。</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目标和实现计划</w:t>
            </w:r>
          </w:p>
          <w:p>
            <w:pPr>
              <w:rPr>
                <w:rFonts w:hint="default" w:ascii="Times New Roman" w:hAnsi="Times New Roman" w:eastAsia="宋体" w:cs="宋体"/>
                <w:lang w:val="en-US" w:eastAsia="zh-CN"/>
              </w:rPr>
            </w:pPr>
          </w:p>
        </w:tc>
        <w:tc>
          <w:tcPr>
            <w:tcW w:w="960" w:type="dxa"/>
            <w:vAlign w:val="top"/>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QEO</w:t>
            </w:r>
            <w:r>
              <w:rPr>
                <w:rFonts w:hint="eastAsia" w:ascii="Times New Roman" w:hAnsi="Times New Roman" w:eastAsia="宋体" w:cs="宋体"/>
                <w:lang w:val="en-US" w:eastAsia="zh-CN"/>
              </w:rPr>
              <w:t>6.2</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公司管理者对质量、环境、职业健康安全管理体系所需的相关职能、层次和过程考虑公司的重要环境因素、重大危险源及相关合规义务设定管理目标。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管理目标：与管理方针保持一致；可测量或可评价；考虑到适用的要求；与员工及员工代表（如有）协商的结果；与产品和服务合格以及增强顾客满意相关；予以监视和予以沟通；适时更新。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公司管理目标由公司内部商定，最后由总经理批准并发布。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公司质量、环境、职业健康安全目标如下：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质量目标：合同履约率100%；顾客满意度≥95%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环境目标和指标：垃圾100%分类投放；杜绝火灾事故发生。</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职业健康安全目标和指标：杜绝火灾事故发生；杜绝触电事故发生。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对目标的层级管理，及策划见《目标、指标分解方案》。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办公室负责依据公司的管理方针，协同各部门，针对职能、层级编写《目标、指标分解方案》，其中包括部门目标、监督审核频率、结果评定方式等内容。</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变更的策划</w:t>
            </w:r>
          </w:p>
        </w:tc>
        <w:tc>
          <w:tcPr>
            <w:tcW w:w="960" w:type="dxa"/>
            <w:vAlign w:val="top"/>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Q</w:t>
            </w:r>
            <w:r>
              <w:rPr>
                <w:rFonts w:hint="eastAsia" w:ascii="Times New Roman" w:hAnsi="Times New Roman" w:eastAsia="宋体" w:cs="宋体"/>
                <w:lang w:val="en-US" w:eastAsia="zh-CN"/>
              </w:rPr>
              <w:t>6.3</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总经理确定对管理体系进行变更时，对进行策划并系统地实施，考虑：变更的及其潜在的后果；管理体系的完整性；资源的可获得性；责任和权限的分配或再分配。</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该企业自体系运行以来未发生相关变更。</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资源提供</w:t>
            </w:r>
          </w:p>
        </w:tc>
        <w:tc>
          <w:tcPr>
            <w:tcW w:w="960" w:type="dxa"/>
            <w:vAlign w:val="top"/>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QEO</w:t>
            </w:r>
            <w:r>
              <w:rPr>
                <w:rFonts w:hint="eastAsia" w:ascii="Times New Roman" w:hAnsi="Times New Roman" w:eastAsia="宋体" w:cs="宋体"/>
                <w:lang w:val="en-US" w:eastAsia="zh-CN"/>
              </w:rPr>
              <w:t>7.1</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总经理确定、提供建立、实施、保持和持续改进管理体系所需的资源。考虑：1)现有的内部资源的能力和约束；2)需要从外部供方获得的资源。</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包括人力资源、专项技能、基础设施、技术和财力资源等。</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环境因素识别、</w:t>
            </w:r>
            <w:r>
              <w:rPr>
                <w:rFonts w:hint="default" w:ascii="Times New Roman" w:hAnsi="Times New Roman" w:eastAsia="宋体" w:cs="宋体"/>
                <w:lang w:val="en-US" w:eastAsia="zh-CN"/>
              </w:rPr>
              <w:t>危险源辨识</w:t>
            </w:r>
            <w:r>
              <w:rPr>
                <w:rFonts w:hint="eastAsia" w:ascii="Times New Roman" w:hAnsi="Times New Roman" w:eastAsia="宋体" w:cs="宋体"/>
                <w:lang w:val="en-US" w:eastAsia="zh-CN"/>
              </w:rPr>
              <w:t>及</w:t>
            </w:r>
            <w:r>
              <w:rPr>
                <w:rFonts w:hint="default" w:ascii="Times New Roman" w:hAnsi="Times New Roman" w:eastAsia="宋体" w:cs="宋体"/>
                <w:lang w:val="en-US" w:eastAsia="zh-CN"/>
              </w:rPr>
              <w:t>风险评价</w:t>
            </w:r>
          </w:p>
        </w:tc>
        <w:tc>
          <w:tcPr>
            <w:tcW w:w="960" w:type="dxa"/>
            <w:vAlign w:val="top"/>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QEO</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6.1.2</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公司编制了《环境因素识别与评价控制程序》各部门识别本部门（可能）对环境产生影响的相关活动，其中活动的选择可涉及采购、销售、服务、储存 、运输、维修、原料消耗等多方面，并填入《环境因素调查表》。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在识别环境因素和环境影响时要考虑：由于公司的活动、服务所排出的水、气、声、渣等以及资源能源的消耗给公司及作业现场周围居民、地区等造成的影响；公司服务实现所必需的原材料、外协服务等的供给者、 废弃物处理者等相关方的活动所产生的环境影响。正常作业条件、异常作业条件，以及可合理预见的情况或紧急状态（如泄漏、火灾、雷击、爆炸等事件）所伴随的潜在重大环境影响；以往遗留的环境问题、现场的现有污染及环境问题，服务活动可能带来的和将来潜在的环境问题以及法律、法规和其他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由办公室负责对各部门调查登记的环境因素进行汇总，核定形成公司《环境因素清单》。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确定环境因素时，必须考虑：变更，包括已纳入计划的或新的开发以及新的修改的活动、产品和服务； 异常状况和可合理预见的紧急情况。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环境因素评价采用定性判断与定量打分相结合的方法进行。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定性判断：凡属于以下类型的环境因素直接判定为重大环境因素：不符合法律、法规、标准要求的环境行为；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危险品化学品的使用与储存；危险有害废物处置；紧急状态下的环境因素；能源、资源的过度耗费。将直接判定的重大环境因素和打分判定的重大环境因素统一列入公司的《重大环境因素清单》。对环境因素的管理应制定环境目标、指标和管理方案或通过制定相应程度来加以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提供《重要环境因素清单》识别两项重要环境因素一是火灾，二是废弃物的排放；</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基本符合要求。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建立并保持《危险源辨识和风险评价控制程序》。在进行危险源调查时考虑：国家法律、法规明确规定的特殊作业工种、特殊行业工种；国家法律、法规明确规定的危险设备、设施及产品；具有接触有毒、有害物质的作业活动和情况；具有易燃、易爆特性的作业活动和情况；具有职业性健康伤害、损害的作业活动和情况；曾经发生或行业内经常发生事件的作业活动和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在对风险因素进行识别时应充分考虑因素的正常、异常、紧急的状态以及过去、现在、将来三种时态。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对已选择确定危险源根据本公司的特点将危险源分为以下的类别：火灾、触电、物体打击、其他。</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各部门负责将本部门工作、活动中的危险源进行全面调查将识别出的危险源汇总登记在《危险源调查表》中。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各部门依据《危险源识别及风险评价控制程序》识别本部门涉及的活动、产品和服务中的危险源并填写《危险源辩识、风险评价表》。由办公室进行风险等级评价，确定控制措施形成文件并建立《重大危险源清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公司重大危险源3项：火灾、触电、交通事故。以上制定了管控措施加以控制。</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基本符合要求。</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合规义务</w:t>
            </w:r>
            <w:r>
              <w:rPr>
                <w:rFonts w:hint="eastAsia" w:eastAsia="宋体" w:cs="宋体"/>
                <w:lang w:val="en-US" w:eastAsia="zh-CN"/>
              </w:rPr>
              <w:t>、法律法规</w:t>
            </w:r>
          </w:p>
        </w:tc>
        <w:tc>
          <w:tcPr>
            <w:tcW w:w="960" w:type="dxa"/>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EO</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6.1.3</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建立并保持《法律法规与其他要求获取、确认程序》，确定并获取质量、环境和职业健康安全管理体系有关的适用法律法规；确定这些法律法规及其他要求如何应用于公司以及需沟通传达的内容；在建立、实施、保持和持续改进其质量、环境和职业健康安全管理体系时，将这些法定要求和其他要求纳入考虑。</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公司保持有关适用的法律法规和其他要求的成文信息。</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监视和测量总则</w:t>
            </w:r>
          </w:p>
        </w:tc>
        <w:tc>
          <w:tcPr>
            <w:tcW w:w="960" w:type="dxa"/>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QEO</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9.1.1</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为了达到质量、环境和职业健康安全达到预期的结果,需要确定需监视和测量的内容，包括：</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1)需要监视和测量的对象；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2)确保有效结果所需的监视、测量、分析和评价方法；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3)实施监视和测量的时机；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4)分析和评价监视和测量结果的时机。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公司定期评价管理体系的绩效和有效性，保持相关的结果证据。使用监视和测量设备，按管理手册要求实施控制。其中依据合规义务，就绩效的信息进行内外部的信息交流。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公司各部门的工作对本部门涉及的内容进行检查，确保各部门工作质量、环境、职业健康安全符合公司管理要求。管理层应通过管理评审（年度工作总结）、内（外）审核，评价质量、环境、职业健康安全管理体系的绩效和有效性。应保留适当的形成文件的信息，作为监视、测量、分析和评价结果的证据。 </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管理评审</w:t>
            </w:r>
          </w:p>
        </w:tc>
        <w:tc>
          <w:tcPr>
            <w:tcW w:w="960" w:type="dxa"/>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QEO</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9.3</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提供《管理评审控制程序》，规定了管理评审的目的、范围、实施的频次、具体操作内容等，公司规定每年至少对组织的体系运行情况进行一次评审。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查《管理评审计划》，编制：张云红    批准：高彩虹 日期：2022年3月1日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计划明确了管理评审目的、评审范围、时间（2022.3.10）、评审内容、各部门评审准备工作要求等。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管理评审内容： 采购部负责人、销售部负责人、办公室负责人、管理者代表、职业健康安全代表等做了体系运行的总结报告，主要内容包括提供管理体系运行控制及本部门的体系运行情况；目标指标的完成情况；法律法规及合规性评价、顾客满意率、体系绩效及目前存在的问题和改进建议等。与会人员对目前存在的问题、公司管理方针和目标和管理方案的适宜性展开讨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查《管理评审报告》，记录了：评审目的、评审范围、评审依据、评审内容，评审参加人员、评审结论、改进建议等，评审内容包括了认证标准和规范要求的全部内容。</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评审结论：公司已按照GB/T19001-2016、GB/T24001-2016、GB/T45001-2020标准建立了符合公司实际的管理体系，通过本次管理评审，确保了质量、环境和职业健康安全方针、目标和管理体系持续的适宜性、充分性和有效性，为下一步外审工作奠定了良好的基础。公司的质量、环境和职业健康安全管理体系持续运行具有适宜性、充分性和有效性，管理方针和管理目标持续适宜，体系运行持续有效。</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总则；持续改进；</w:t>
            </w:r>
          </w:p>
          <w:p>
            <w:pPr>
              <w:rPr>
                <w:rFonts w:hint="default" w:ascii="Times New Roman" w:hAnsi="Times New Roman" w:eastAsia="宋体" w:cs="宋体"/>
                <w:lang w:val="en-US" w:eastAsia="zh-CN"/>
              </w:rPr>
            </w:pPr>
          </w:p>
        </w:tc>
        <w:tc>
          <w:tcPr>
            <w:tcW w:w="960" w:type="dxa"/>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10.1/</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10.3</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公司通过确定的改进机会，实施必要的措施，实现体系的预期结果，增强顾客及相关方满意，包括：</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1)改进生产流程，满足顾客得到未来需求和期望；2)纠正、预防或减少不利影响；3)改进管理体系的绩效和有效性。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公司通过以下方式，持续改进质量、环境和职业健康安全管理体系的适宜性、充分性与有效性：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提升质量、环境和职业健康安全管理绩效；促进支持质量、环境和职业健康安全管理管理体系的文化；促进工作人员参与实施持续改进质量、环境和职业健康安全管理管理体系的措施；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将相关持续改进的结果沟通给工作人员和其代表；保持和保留作为持续改进证据的文件化信息。</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范围的确认、资质的确认、法律法规执行情况、质量抽查及顾客投诉情况、一阶段不符合验证</w:t>
            </w:r>
          </w:p>
        </w:tc>
        <w:tc>
          <w:tcPr>
            <w:tcW w:w="960" w:type="dxa"/>
          </w:tcPr>
          <w:p>
            <w:pPr>
              <w:rPr>
                <w:rFonts w:hint="eastAsia" w:ascii="Times New Roman" w:hAnsi="Times New Roman" w:eastAsia="宋体" w:cs="宋体"/>
                <w:lang w:val="en-US" w:eastAsia="zh-CN"/>
              </w:rPr>
            </w:pP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本次审核范围确定：</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Q：</w:t>
            </w:r>
            <w:r>
              <w:rPr>
                <w:rFonts w:hint="eastAsia" w:ascii="Times New Roman" w:hAnsi="Times New Roman" w:eastAsia="宋体" w:cs="宋体"/>
                <w:lang w:val="en-US" w:eastAsia="zh-CN"/>
              </w:rPr>
              <w:t>日用百货、LED显示屏、灯箱、照明设备、工艺美术品、标识标牌、电子产品、金属制品、塑料制品、文化用品、体育用品、办公设备、安防设备的销售</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E：</w:t>
            </w:r>
            <w:r>
              <w:rPr>
                <w:rFonts w:hint="eastAsia" w:ascii="Times New Roman" w:hAnsi="Times New Roman" w:eastAsia="宋体" w:cs="宋体"/>
                <w:lang w:val="en-US" w:eastAsia="zh-CN"/>
              </w:rPr>
              <w:t>日用百货、LED显示屏、灯箱、照明设备、工艺美术品、标识标牌、电子产品、金属制品、塑料制品、文化用品、体育用品、办公设备、安防设备的销售</w:t>
            </w:r>
            <w:r>
              <w:rPr>
                <w:rFonts w:hint="default" w:ascii="Times New Roman" w:hAnsi="Times New Roman" w:eastAsia="宋体" w:cs="宋体"/>
                <w:lang w:val="en-US" w:eastAsia="zh-CN"/>
              </w:rPr>
              <w:t>所涉及场所的相关环境管理活动</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O：</w:t>
            </w:r>
            <w:r>
              <w:rPr>
                <w:rFonts w:hint="eastAsia" w:ascii="Times New Roman" w:hAnsi="Times New Roman" w:eastAsia="宋体" w:cs="宋体"/>
                <w:lang w:val="en-US" w:eastAsia="zh-CN"/>
              </w:rPr>
              <w:t>日用百货、LED显示屏、灯箱、照明设备、工艺美术品、标识标牌、电子产品、金属制品、塑料制品、文化用品、体育用品、办公设备、安防设备的销售</w:t>
            </w:r>
            <w:r>
              <w:rPr>
                <w:rFonts w:hint="default" w:ascii="Times New Roman" w:hAnsi="Times New Roman" w:eastAsia="宋体" w:cs="宋体"/>
                <w:lang w:val="en-US" w:eastAsia="zh-CN"/>
              </w:rPr>
              <w:t>所涉及场所的相关职业健康安全管理活动</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企业资质确认：提供营业执照经查无问题。</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法律法规执行情况：符合法律法规要求，具体内容见9.1.2条款审核记录</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质量抽查及顾客投诉情况：无问题。</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一阶段不符合验证：一阶段无不符合。</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bl>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7"/>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1227"/>
        <w:gridCol w:w="1124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2"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过程与活动、抽样计划</w:t>
            </w:r>
          </w:p>
        </w:tc>
        <w:tc>
          <w:tcPr>
            <w:tcW w:w="413"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3786"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受审核部门：采购部         主管领导： 李钊          陪同人员：刘丹</w:t>
            </w:r>
          </w:p>
        </w:tc>
        <w:tc>
          <w:tcPr>
            <w:tcW w:w="288"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tc>
        <w:tc>
          <w:tcPr>
            <w:tcW w:w="41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tc>
        <w:tc>
          <w:tcPr>
            <w:tcW w:w="3786"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审核员：杨园               审核时间：2022.4.7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tc>
        <w:tc>
          <w:tcPr>
            <w:tcW w:w="41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tc>
        <w:tc>
          <w:tcPr>
            <w:tcW w:w="3786"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审核条款：Q5.3/6.2/8.4/；</w:t>
            </w:r>
          </w:p>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EO</w:t>
            </w:r>
            <w:r>
              <w:rPr>
                <w:rFonts w:hint="eastAsia" w:ascii="Times New Roman" w:hAnsi="Times New Roman" w:eastAsia="宋体" w:cs="宋体"/>
                <w:lang w:val="en-US" w:eastAsia="zh-CN"/>
              </w:rPr>
              <w:t>5.3/6.2/</w:t>
            </w:r>
            <w:r>
              <w:rPr>
                <w:rFonts w:hint="default" w:ascii="Times New Roman" w:hAnsi="Times New Roman" w:eastAsia="宋体" w:cs="宋体"/>
                <w:lang w:val="en-US" w:eastAsia="zh-CN"/>
              </w:rPr>
              <w:t>6.1.2/8.1/8.2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岗位职责、权限</w:t>
            </w:r>
          </w:p>
        </w:tc>
        <w:tc>
          <w:tcPr>
            <w:tcW w:w="41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QEO5.3</w:t>
            </w:r>
          </w:p>
        </w:tc>
        <w:tc>
          <w:tcPr>
            <w:tcW w:w="3786"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采购部门负责人：李钊</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李经理介绍，采购部主要负责参与目标指标的制定和本部门目标管理，供方选择和评价，</w:t>
            </w:r>
            <w:r>
              <w:rPr>
                <w:rFonts w:hint="eastAsia" w:ascii="Times New Roman" w:hAnsi="Times New Roman" w:eastAsia="宋体" w:cs="宋体"/>
                <w:lang w:val="en-US" w:eastAsia="zh-CN"/>
              </w:rPr>
              <w:t>采购信息文件的制订，负责的采购过程的管理，负责的采购产品的验收，负责不合格品的控制，负责纠正措施与预防措施的控制</w:t>
            </w:r>
            <w:r>
              <w:rPr>
                <w:rFonts w:hint="eastAsia" w:ascii="Times New Roman" w:hAnsi="Times New Roman" w:eastAsia="宋体" w:cs="宋体"/>
                <w:lang w:val="zh-CN" w:eastAsia="zh-CN"/>
              </w:rPr>
              <w:t>等工作。</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本部门职责明确，回答基本正确。</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目标</w:t>
            </w:r>
          </w:p>
        </w:tc>
        <w:tc>
          <w:tcPr>
            <w:tcW w:w="41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QEO6.2</w:t>
            </w:r>
          </w:p>
        </w:tc>
        <w:tc>
          <w:tcPr>
            <w:tcW w:w="3786"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查见《管理手册》相关条款，公司管理层以公司的质量/环境/职业健康安全方针为框架，结合公司的实际运营情况，制定公司的总得管理目标，为确保目标的实现，对目标进行了分解，制定了考核方法。</w:t>
            </w:r>
          </w:p>
          <w:p>
            <w:pPr>
              <w:rPr>
                <w:rFonts w:hint="eastAsia" w:ascii="Times New Roman" w:hAnsi="Times New Roman" w:eastAsia="宋体" w:cs="宋体"/>
                <w:lang w:val="zh-CN" w:eastAsia="zh-CN"/>
              </w:rPr>
            </w:pPr>
            <w:r>
              <w:rPr>
                <w:rFonts w:hint="eastAsia" w:ascii="Times New Roman" w:hAnsi="Times New Roman" w:eastAsia="宋体" w:cs="宋体"/>
                <w:lang w:val="en-US" w:eastAsia="zh-CN"/>
              </w:rPr>
              <w:t>查见《</w:t>
            </w:r>
            <w:r>
              <w:rPr>
                <w:rFonts w:hint="eastAsia" w:ascii="Times New Roman" w:hAnsi="Times New Roman" w:eastAsia="宋体" w:cs="宋体"/>
                <w:lang w:val="zh-CN" w:eastAsia="zh-CN"/>
              </w:rPr>
              <w:t>目标实现统计》，对质量、环境、安全目标完成情况进行了考核，有考核数，考核结果，考核方法，考核时间。</w:t>
            </w:r>
          </w:p>
          <w:p>
            <w:pPr>
              <w:rPr>
                <w:rFonts w:hint="default" w:ascii="Times New Roman" w:hAnsi="Times New Roman" w:eastAsia="宋体" w:cs="宋体"/>
                <w:lang w:val="en-US" w:eastAsia="zh-CN"/>
              </w:rPr>
            </w:pPr>
            <w:r>
              <w:rPr>
                <w:rFonts w:hint="eastAsia" w:ascii="Times New Roman" w:hAnsi="Times New Roman" w:eastAsia="宋体" w:cs="宋体"/>
                <w:lang w:val="zh-CN" w:eastAsia="zh-CN"/>
              </w:rPr>
              <w:t>查</w:t>
            </w:r>
            <w:r>
              <w:rPr>
                <w:rFonts w:hint="eastAsia" w:ascii="Times New Roman" w:hAnsi="Times New Roman" w:eastAsia="宋体" w:cs="宋体"/>
                <w:lang w:val="en-US" w:eastAsia="zh-CN"/>
              </w:rPr>
              <w:t>2021年</w:t>
            </w:r>
            <w:r>
              <w:rPr>
                <w:rFonts w:hint="eastAsia" w:cs="宋体"/>
                <w:lang w:val="en-US" w:eastAsia="zh-CN"/>
              </w:rPr>
              <w:t>10</w:t>
            </w:r>
            <w:r>
              <w:rPr>
                <w:rFonts w:hint="eastAsia" w:ascii="Times New Roman" w:hAnsi="Times New Roman" w:eastAsia="宋体" w:cs="宋体"/>
                <w:lang w:val="en-US" w:eastAsia="zh-CN"/>
              </w:rPr>
              <w:t>-12月目标考核情况，</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项目及指标                      考核情况                        </w:t>
            </w:r>
          </w:p>
          <w:p>
            <w:pPr>
              <w:rPr>
                <w:rFonts w:hint="default" w:ascii="Times New Roman" w:hAnsi="Times New Roman" w:eastAsia="宋体" w:cs="宋体"/>
                <w:lang w:val="en-US" w:eastAsia="zh-CN"/>
              </w:rPr>
            </w:pPr>
            <w:r>
              <w:rPr>
                <w:rFonts w:hint="eastAsia" w:ascii="Times New Roman" w:hAnsi="Times New Roman" w:eastAsia="宋体" w:cs="宋体"/>
                <w:lang w:val="zh-CN" w:eastAsia="zh-CN"/>
              </w:rPr>
              <w:t>质量</w:t>
            </w:r>
            <w:r>
              <w:rPr>
                <w:rFonts w:hint="eastAsia" w:ascii="Times New Roman" w:hAnsi="Times New Roman" w:eastAsia="宋体" w:cs="宋体"/>
                <w:lang w:val="en-US" w:eastAsia="zh-CN"/>
              </w:rPr>
              <w:t xml:space="preserve">    采购产品按时到货率100%             100%</w:t>
            </w:r>
          </w:p>
          <w:p>
            <w:pPr>
              <w:rPr>
                <w:rFonts w:hint="default" w:ascii="Times New Roman" w:hAnsi="Times New Roman" w:eastAsia="宋体" w:cs="宋体"/>
                <w:lang w:val="en-US" w:eastAsia="zh-CN"/>
              </w:rPr>
            </w:pPr>
            <w:r>
              <w:rPr>
                <w:rFonts w:hint="eastAsia" w:ascii="Times New Roman" w:hAnsi="Times New Roman" w:eastAsia="宋体" w:cs="宋体"/>
                <w:lang w:val="zh-CN" w:eastAsia="zh-CN"/>
              </w:rPr>
              <w:t>环境</w:t>
            </w:r>
            <w:r>
              <w:rPr>
                <w:rFonts w:hint="eastAsia" w:ascii="Times New Roman" w:hAnsi="Times New Roman" w:eastAsia="宋体" w:cs="宋体"/>
                <w:lang w:val="en-US" w:eastAsia="zh-CN"/>
              </w:rPr>
              <w:t xml:space="preserve">    年度火灾发生率0                     0</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        100%分类处理固体废弃物。            100%</w:t>
            </w:r>
          </w:p>
          <w:p>
            <w:pPr>
              <w:rPr>
                <w:rFonts w:hint="default" w:ascii="Times New Roman" w:hAnsi="Times New Roman" w:eastAsia="宋体" w:cs="宋体"/>
                <w:lang w:val="en-US" w:eastAsia="zh-CN"/>
              </w:rPr>
            </w:pPr>
            <w:r>
              <w:rPr>
                <w:rFonts w:hint="eastAsia" w:ascii="Times New Roman" w:hAnsi="Times New Roman" w:eastAsia="宋体" w:cs="宋体"/>
                <w:lang w:val="zh-CN" w:eastAsia="zh-CN"/>
              </w:rPr>
              <w:t>安全</w:t>
            </w:r>
            <w:r>
              <w:rPr>
                <w:rFonts w:hint="eastAsia" w:ascii="Times New Roman" w:hAnsi="Times New Roman" w:eastAsia="宋体" w:cs="宋体"/>
                <w:lang w:val="en-US" w:eastAsia="zh-CN"/>
              </w:rPr>
              <w:t xml:space="preserve">    杜绝火灾事故发生                    0</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杜绝触电事故发生                    0</w:t>
            </w:r>
          </w:p>
          <w:p>
            <w:pPr>
              <w:rPr>
                <w:rFonts w:hint="default" w:ascii="Times New Roman" w:hAnsi="Times New Roman" w:eastAsia="宋体" w:cs="宋体"/>
                <w:lang w:val="en-US" w:eastAsia="zh-CN"/>
              </w:rPr>
            </w:pPr>
            <w:r>
              <w:rPr>
                <w:rFonts w:hint="eastAsia" w:ascii="Times New Roman" w:hAnsi="Times New Roman" w:eastAsia="宋体" w:cs="宋体"/>
                <w:lang w:val="zh-CN" w:eastAsia="zh-CN"/>
              </w:rPr>
              <w:t>考核人张云红，</w:t>
            </w:r>
            <w:r>
              <w:rPr>
                <w:rFonts w:hint="eastAsia" w:ascii="Times New Roman" w:hAnsi="Times New Roman" w:eastAsia="宋体" w:cs="宋体"/>
                <w:lang w:val="en-US" w:eastAsia="zh-CN"/>
              </w:rPr>
              <w:t>2021年完成了目标考核。2022年目标与2021年目标设置情况相同。</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查管理方案实施情况：</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制定了《环境和职业健康安全目标指标及管理方案》</w:t>
            </w:r>
          </w:p>
          <w:p>
            <w:pPr>
              <w:rPr>
                <w:rFonts w:hint="eastAsia" w:ascii="Times New Roman" w:hAnsi="Times New Roman" w:eastAsia="宋体" w:cs="宋体"/>
                <w:lang w:val="en-US"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目标指标</w:t>
            </w:r>
            <w:r>
              <w:rPr>
                <w:rFonts w:hint="eastAsia" w:ascii="Times New Roman" w:hAnsi="Times New Roman" w:eastAsia="宋体" w:cs="宋体"/>
                <w:lang w:val="en-US" w:eastAsia="zh-CN"/>
              </w:rPr>
              <w:t>-</w:t>
            </w:r>
            <w:r>
              <w:rPr>
                <w:rFonts w:hint="eastAsia" w:ascii="Times New Roman" w:hAnsi="Times New Roman" w:eastAsia="宋体" w:cs="宋体"/>
                <w:lang w:val="zh-CN" w:eastAsia="zh-CN"/>
              </w:rPr>
              <w:t>杜绝火灾：方案计划内容：1、检查办公区域所有线路，确保完好   2、建立安全用电制度                               3、配置消防器材   预计费用：300元 。责任部门：办公室，</w:t>
            </w:r>
            <w:r>
              <w:rPr>
                <w:rFonts w:hint="eastAsia" w:ascii="Times New Roman" w:hAnsi="Times New Roman" w:eastAsia="宋体" w:cs="宋体"/>
                <w:lang w:val="en-US" w:eastAsia="zh-CN"/>
              </w:rPr>
              <w:t>2022年3月15日进行了阶段性验收，已按方案实施，</w:t>
            </w:r>
          </w:p>
          <w:p>
            <w:pPr>
              <w:rPr>
                <w:rFonts w:hint="eastAsia" w:ascii="Times New Roman" w:hAnsi="Times New Roman" w:eastAsia="宋体" w:cs="宋体"/>
                <w:lang w:val="en-US" w:eastAsia="zh-CN"/>
              </w:rPr>
            </w:pPr>
            <w:bookmarkStart w:id="3" w:name="_GoBack"/>
            <w:bookmarkEnd w:id="3"/>
            <w:r>
              <w:rPr>
                <w:rFonts w:hint="eastAsia" w:ascii="Times New Roman" w:hAnsi="Times New Roman" w:eastAsia="宋体" w:cs="宋体"/>
                <w:lang w:val="en-US" w:eastAsia="zh-CN"/>
              </w:rPr>
              <w:t>编制：张云红，批准：高彩红</w:t>
            </w:r>
          </w:p>
          <w:p>
            <w:pPr>
              <w:rPr>
                <w:rFonts w:hint="eastAsia" w:ascii="Times New Roman" w:hAnsi="Times New Roman" w:eastAsia="宋体" w:cs="宋体"/>
                <w:lang w:val="en-US"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en-US" w:eastAsia="zh-CN"/>
              </w:rPr>
              <w:t>目标指标-</w:t>
            </w:r>
            <w:r>
              <w:rPr>
                <w:rFonts w:hint="eastAsia" w:ascii="Times New Roman" w:hAnsi="Times New Roman" w:eastAsia="宋体" w:cs="宋体"/>
                <w:lang w:val="zh-CN" w:eastAsia="zh-CN"/>
              </w:rPr>
              <w:t>固废分类存放统一处理率100%，制定了管理方案，内容：1、培训员工废弃物分类常识                          2、设立分类垃圾箱    3、建立分类回收记录；预计费用：150元，责任部门：办公室，</w:t>
            </w:r>
            <w:r>
              <w:rPr>
                <w:rFonts w:hint="eastAsia" w:ascii="Times New Roman" w:hAnsi="Times New Roman" w:eastAsia="宋体" w:cs="宋体"/>
                <w:lang w:val="en-US" w:eastAsia="zh-CN"/>
              </w:rPr>
              <w:t>2022年3月15日进行了阶段性验收，已按方案实施，编制：张云红，批准：高彩红</w:t>
            </w:r>
          </w:p>
          <w:p>
            <w:pPr>
              <w:rPr>
                <w:rFonts w:hint="default" w:ascii="Times New Roman" w:hAnsi="Times New Roman" w:eastAsia="宋体" w:cs="宋体"/>
                <w:lang w:val="en-US"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en-US" w:eastAsia="zh-CN"/>
              </w:rPr>
              <w:t>查目标指标-触电伤亡事故为0，制定了管理方案，进行了阶段性验收，有实际实施情况和费用投入情况。</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环境、安全目标指标制定了管理方案，落实了相应的控制措施、负责人、完成时间等。符合要求。</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环境因素、危险源</w:t>
            </w:r>
          </w:p>
        </w:tc>
        <w:tc>
          <w:tcPr>
            <w:tcW w:w="41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EO6.1.2</w:t>
            </w:r>
          </w:p>
        </w:tc>
        <w:tc>
          <w:tcPr>
            <w:tcW w:w="3786"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查企业编制了《环境因素、危险源识别和风险评价管理程序》（MJ/CX-09-A/0），用于识别和控制与各过程相关的环境因素和危险源，并确定重要环境因素，不可接受风险及控制办法。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了《环境因素识别、评价表》，采购部的环境因素主要包括：办公过程的电脑使用、空调室的能源消耗，办公纸张的浪费、生活用水的消耗、电源线路老化、漏电或其他原因导致火灾的发生、生活废水、生活垃圾的产生、灯管废弃、废弃防疫物资等；重要环境因素：固废排放，火灾。</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危险源辨识与风险评价表》，采购部涉及到的危险源主要包括：触电危险、电气火灾、劳保用品防护不到位的风险、驾驶外出的交通风险、办公过程的烫伤、滑倒摔伤、辐射触电等的风险，采用LEC定量评价法评估出不可接受风险，编制了《不可接受风险清单》，不可接受风险为：火灾、触电、新冠肺炎感染。</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对识别出的重要环境因素和不可接受风险，均制定了相应的管理措施如废弃物管理办法、应急预案、培训、演练、设备操作规程、定期检查等。</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2"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外部提供的过程、产品和服务的控制</w:t>
            </w:r>
          </w:p>
        </w:tc>
        <w:tc>
          <w:tcPr>
            <w:tcW w:w="41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Q8.4</w:t>
            </w:r>
          </w:p>
        </w:tc>
        <w:tc>
          <w:tcPr>
            <w:tcW w:w="3786"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采购依据《采购控制程序》进行控制，企业无库存经营，不进行大量存货，根据销售合同进行采购。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采购物资主要为：日用百货、LED显示屏、灯箱、照明设备、工艺美术品、标识标牌、电子产品、金属制品、塑料制品、文化用品、体育用品、办公设备、安防设备。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对物资供应商定期进行合格供方评价，内容包括：资质、生产情况、设备情况、产品供应能力、社会信誉等内容。经由总经理确认后，纳入公司合格供方。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提供有《合格供方目录》，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供方名称                                 供应产品名称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石家庄晖宁广告有限公司              灯箱  LED显示屏，亚克力发光字</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定州益佰广告有限公司                </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文化墙、宣传栏制作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石家庄琢义不锈钢有限公司             不锈钢橱窗、不锈钢灯箱</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定州北国电器贸易有限责任公司        电视，音响设备、空调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北京互视达科技有限公司           多媒体一体机、朗读亭、视频展台、多功能大数据展示屏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广州熊孩子游乐设备有限公司</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训练器材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河北宏盛体育设施有限公司         </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服装、被褥、手套、</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河北宏盛体育设施有限公司</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伟人像雕塑</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首次列入日期：2021.12.10.编制李钊，审批：高彩红。</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提供了《合格供方评价表》，查对上述供方均进行了评审，评审结论：可以列入供方单位。批准人：高彩红，日期：2021年12月10日。收集了供方的营业执照、生产资质等信息。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本公司产品运输交物流公司负责，对外包方的控制主要通过供方评审，签订合同，送货单客户签收后结算等方式。保留了送货单，有客户接收人签字。</w:t>
            </w:r>
          </w:p>
          <w:p>
            <w:pPr>
              <w:rPr>
                <w:rFonts w:hint="default" w:ascii="Times New Roman" w:hAnsi="Times New Roman" w:eastAsia="宋体" w:cs="宋体"/>
                <w:b/>
                <w:bCs/>
                <w:u w:val="single"/>
                <w:lang w:val="en-US" w:eastAsia="zh-CN"/>
              </w:rPr>
            </w:pPr>
            <w:r>
              <w:rPr>
                <w:rFonts w:hint="eastAsia" w:ascii="Times New Roman" w:hAnsi="Times New Roman" w:eastAsia="宋体" w:cs="宋体"/>
                <w:b/>
                <w:bCs/>
                <w:u w:val="single"/>
                <w:lang w:val="en-US" w:eastAsia="zh-CN"/>
              </w:rPr>
              <w:t>现场审核发现，未提供对运输外包方进行合格评价的证据。--不符合。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本公司需求物资的采购信息由采购部负责，通过签订书面采购合同方式/口头、微信订单向合格供方进行产品采购。李钊主管介绍有部分口头和微信订单，也保留了相关记录。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查上述销售合同进行采购均签订了采购合同：</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1、买方：河北彩子广告有限公司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卖方：石家庄琢义不锈钢有限公司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采购物品：不锈钢橱窗、不锈钢灯箱</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采购合同依据销售内容，明确了产品规格，数量，交货日期，违约责任等，有双方签字盖章。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2、买方：河北彩子广告有限公司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卖方：河北宏盛体育设施有限公司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采购内容：服装、被褥、手套、等日用百货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采购合同依据销售内容，明确了产品规格，数量，交货日期，违约责任等，有双方签字盖章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3、买方： 河北彩子广告有限公司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卖方：北京互视达科技有限公司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采购内容：媒体一体机、朗读亭、视频展台、多功能大数据展示屏，采购合同依据销售内容，明确了产品规格型号，数量，交货日期，违约责任等，有双方签字盖章</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另查其他采购合同十余份，覆盖企业认证范围，采购物品通过物流运输至甲方指定地点，客户验收合格后签字回传。</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2"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运行控制</w:t>
            </w:r>
          </w:p>
        </w:tc>
        <w:tc>
          <w:tcPr>
            <w:tcW w:w="41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EO8.1</w:t>
            </w:r>
          </w:p>
        </w:tc>
        <w:tc>
          <w:tcPr>
            <w:tcW w:w="3786"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编制了《与顾客有关过程控制程序》《采购控制程序》《服务过程控制程序》《噪声控制程序》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《废弃物处理控制程序》《职业健康安全运行控制程序》《设施和工作环境控制程序》《环境、职业健康安全绩效监视和测量程序》等程序文件和管理制度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1.办公过程节约用电，做到人走灯灭，电脑长时间不用时关机，下班前要关闭电源。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2.办公过程产生的固废，执行《废弃物处理控制程序》，按要求放到指定地点，查看无混放现象；废弃的防疫物资设置了专用垃圾桶进行统一丢弃处理。办公用品按要求由办公室负责发放，作好记录，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3.工作时间平均每天不超过8小时，公司为员工缴纳了保险，提供了完税证明。</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4.提供了《劳动保护用品发放记录》，公司为员工提供口罩、洗手液等劳动防护用品及卫生防疫物品，有发放和接收记录。办公室有来客登记表，有办公区域消毒监测台账、返岗员工体温监测台账。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5.办公楼道内疏散通道有应急灯、疏散指示标志等设施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6.办公区产生的污水主要为日常清洁，污水无外排情况。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气体排放：主要是日常打印和复印产生，量较小。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噪声：办公活动无重大噪声。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固废：配合办公室做好固废分类回收处置。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节约能源：公司在日常办公时尽量减少纸张及办公用品的消耗，日常注意节水节电，正常使用。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触电：定期检测用电办公设备和线路，发现故障及时修复，正确使用设备，防止触电、火灾事故发生。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火灾：楼道内灭火器由物业统一管理，检查在有效期内。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交通事故：对员工进行交通安全的培训，上下班途中遵守交通规则，不违章，防止交通事故的发生。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刺伤/割伤：日常办公时注意安全，各种办公用品放置整齐。</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相关方施加影响：查见《需重点施加影响的相关方一览表》，抽查《相关方告知书》，对相关方传递了环境安全方针，遵守法律法规的要求</w:t>
            </w:r>
            <w:r>
              <w:rPr>
                <w:rFonts w:hint="eastAsia" w:eastAsia="宋体" w:cs="宋体"/>
                <w:lang w:val="en-US" w:eastAsia="zh-CN"/>
              </w:rPr>
              <w:t>。</w:t>
            </w:r>
            <w:r>
              <w:rPr>
                <w:rFonts w:hint="eastAsia" w:eastAsia="宋体" w:cs="宋体"/>
                <w:b/>
                <w:bCs/>
                <w:u w:val="single"/>
                <w:lang w:val="en-US" w:eastAsia="zh-CN"/>
              </w:rPr>
              <w:t>未提供对产品运输外包方施加环境、职业健康安全影响的证据。</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2"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应急准备和响应</w:t>
            </w:r>
          </w:p>
        </w:tc>
        <w:tc>
          <w:tcPr>
            <w:tcW w:w="41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EO8.2</w:t>
            </w:r>
          </w:p>
        </w:tc>
        <w:tc>
          <w:tcPr>
            <w:tcW w:w="3786"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建立了《应急准备与响应控制程序》，确定可能对环境、职业健康安全造成影响的潜在的紧急情况或事故、事件，规定响应措施，以便防止和减少可能随之引发的有害的环境影响和相关的职业健康安全不良后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查《应急准备及响应方案》，包含火灾、触电、高温中暑、传染病方面，配备了应急器材，有联络人员名单。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配合办公室做好应急演练工作，2021年1</w:t>
            </w:r>
            <w:r>
              <w:rPr>
                <w:rFonts w:hint="eastAsia" w:cs="宋体"/>
                <w:lang w:val="en-US" w:eastAsia="zh-CN"/>
              </w:rPr>
              <w:t>1</w:t>
            </w:r>
            <w:r>
              <w:rPr>
                <w:rFonts w:hint="eastAsia" w:ascii="Times New Roman" w:hAnsi="Times New Roman" w:eastAsia="宋体" w:cs="宋体"/>
                <w:lang w:val="en-US" w:eastAsia="zh-CN"/>
              </w:rPr>
              <w:t>月19日参加了触电演练，2021年</w:t>
            </w:r>
            <w:r>
              <w:rPr>
                <w:rFonts w:hint="eastAsia" w:cs="宋体"/>
                <w:lang w:val="en-US" w:eastAsia="zh-CN"/>
              </w:rPr>
              <w:t>11</w:t>
            </w:r>
            <w:r>
              <w:rPr>
                <w:rFonts w:hint="eastAsia" w:ascii="Times New Roman" w:hAnsi="Times New Roman" w:eastAsia="宋体" w:cs="宋体"/>
                <w:lang w:val="en-US" w:eastAsia="zh-CN"/>
              </w:rPr>
              <w:t>月15日参加了火灾演练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具体记录见办公室审核记录。</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571466"/>
    <w:rsid w:val="0683283C"/>
    <w:rsid w:val="07B050F4"/>
    <w:rsid w:val="17EF41C3"/>
    <w:rsid w:val="19175D13"/>
    <w:rsid w:val="1ACE4623"/>
    <w:rsid w:val="242D6EFE"/>
    <w:rsid w:val="267E0F3D"/>
    <w:rsid w:val="2EAC2F63"/>
    <w:rsid w:val="35406D85"/>
    <w:rsid w:val="481132D5"/>
    <w:rsid w:val="4E2F62E4"/>
    <w:rsid w:val="5B9D79BC"/>
    <w:rsid w:val="5BBE564D"/>
    <w:rsid w:val="694015BF"/>
    <w:rsid w:val="6ABE4108"/>
    <w:rsid w:val="70D524F3"/>
    <w:rsid w:val="725B3FD2"/>
    <w:rsid w:val="75407F08"/>
    <w:rsid w:val="7AA562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0"/>
    <w:pPr>
      <w:keepNext/>
      <w:keepLines/>
      <w:spacing w:line="360" w:lineRule="auto"/>
      <w:jc w:val="center"/>
      <w:outlineLvl w:val="3"/>
    </w:pPr>
    <w:rPr>
      <w:rFonts w:ascii="Arial" w:hAnsi="Arial"/>
      <w:b/>
      <w:bCs/>
      <w:sz w:val="24"/>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4">
    <w:name w:val="List Paragraph"/>
    <w:basedOn w:val="1"/>
    <w:qFormat/>
    <w:uiPriority w:val="34"/>
    <w:pPr>
      <w:ind w:firstLine="420" w:firstLineChars="200"/>
    </w:pPr>
    <w:rPr>
      <w:rFonts w:ascii="Calibri" w:hAnsi="Calibri" w:eastAsia="宋体" w:cs="Times New Roman"/>
      <w:szCs w:val="22"/>
    </w:rPr>
  </w:style>
  <w:style w:type="paragraph" w:customStyle="1" w:styleId="15">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2022-04-17T08:31:54Z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