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0328-2022-EnMs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浙江大民家具有限公司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91330521MA2D1UBW1M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带标  □不带标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15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4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4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5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浙江大民家具有限公司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家具制造所涉及的能源管理活动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浙江省湖州市德清县钟管镇东坝斗村高兴桥北枉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浙江省湖州市南浔开发区东迁强园路北侧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127000</wp:posOffset>
                  </wp:positionV>
                  <wp:extent cx="982345" cy="319405"/>
                  <wp:effectExtent l="0" t="0" r="0" b="10795"/>
                  <wp:wrapSquare wrapText="bothSides"/>
                  <wp:docPr id="6" name="图片 6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4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0" w:name="组织名称Add2"/>
      <w:r>
        <w:rPr>
          <w:rFonts w:hint="eastAsia"/>
          <w:b/>
          <w:color w:val="000000" w:themeColor="text1"/>
          <w:sz w:val="22"/>
          <w:szCs w:val="22"/>
        </w:rPr>
        <w:t>浙江大民家具有限公司</w:t>
      </w:r>
      <w:bookmarkEnd w:id="20"/>
      <w:r>
        <w:rPr>
          <w:rFonts w:hint="eastAsia"/>
          <w:b/>
          <w:color w:val="000000" w:themeColor="text1"/>
          <w:sz w:val="22"/>
          <w:szCs w:val="22"/>
        </w:rPr>
        <w:t>证书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</w:t>
      </w:r>
      <w:r>
        <w:rPr>
          <w:rFonts w:hint="eastAsia"/>
          <w:b/>
          <w:color w:val="000000" w:themeColor="text1"/>
          <w:sz w:val="22"/>
          <w:szCs w:val="22"/>
        </w:rPr>
        <w:t>注册号：</w:t>
      </w:r>
      <w:bookmarkStart w:id="21" w:name="证书编号Add1"/>
      <w:bookmarkEnd w:id="21"/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2" w:name="生产地址"/>
      <w:r>
        <w:rPr>
          <w:b/>
          <w:color w:val="000000" w:themeColor="text1"/>
          <w:sz w:val="22"/>
          <w:szCs w:val="22"/>
        </w:rPr>
        <w:t>浙江省湖州市南浔开发区东迁强园路北侧</w:t>
      </w:r>
      <w:bookmarkEnd w:id="22"/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4"/>
        <w:spacing w:line="400" w:lineRule="exact"/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4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835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04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17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18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8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4"/>
              <w:spacing w:line="320" w:lineRule="exact"/>
              <w:ind w:firstLine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  <w:lang w:val="en-US" w:eastAsia="zh-CN"/>
              </w:rPr>
              <w:t>注册地址在</w:t>
            </w:r>
            <w:r>
              <w:rPr>
                <w:rFonts w:asciiTheme="minorEastAsia" w:hAnsiTheme="minorEastAsia" w:eastAsiaTheme="minorEastAsia"/>
                <w:sz w:val="20"/>
              </w:rPr>
              <w:t>浙江省湖州市德清县钟管镇东坝斗村高兴桥北枉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经营地址在</w:t>
            </w:r>
            <w:r>
              <w:rPr>
                <w:rFonts w:asciiTheme="minorEastAsia" w:hAnsiTheme="minorEastAsia" w:eastAsiaTheme="minorEastAsia"/>
                <w:sz w:val="20"/>
              </w:rPr>
              <w:t>浙江省湖州市南浔开发区东迁强园路北侧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浙江大民家具有限公司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的核算边界：</w:t>
            </w:r>
          </w:p>
          <w:p>
            <w:pPr>
              <w:pStyle w:val="4"/>
              <w:spacing w:line="320" w:lineRule="exact"/>
              <w:ind w:firstLine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生产及辅助系统：生产部（含车间及动力系统）</w:t>
            </w:r>
          </w:p>
          <w:p>
            <w:pPr>
              <w:pStyle w:val="4"/>
              <w:spacing w:line="320" w:lineRule="exact"/>
              <w:ind w:firstLine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部门：质检部、综合部、财务部、市</w:t>
            </w:r>
            <w:bookmarkStart w:id="23" w:name="_GoBack"/>
            <w:bookmarkEnd w:id="23"/>
            <w:r>
              <w:rPr>
                <w:rFonts w:hint="eastAsia"/>
                <w:sz w:val="21"/>
                <w:szCs w:val="21"/>
                <w:lang w:val="en-US" w:eastAsia="zh-CN"/>
              </w:rPr>
              <w:t>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pStyle w:val="4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9000套</w:t>
            </w:r>
          </w:p>
          <w:p>
            <w:pPr>
              <w:pStyle w:val="4"/>
              <w:spacing w:line="320" w:lineRule="exact"/>
              <w:ind w:firstLine="0"/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1042.6165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pStyle w:val="4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10.520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w w:val="105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2"/>
                <w:lang w:val="en-US" w:eastAsia="zh-CN"/>
              </w:rPr>
              <w:t>10.089 kgtce/万元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单位产品综合能耗：1.168 kgtce/套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未下达节能量指标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8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8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8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4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82150A"/>
    <w:rsid w:val="465273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Char"/>
    <w:basedOn w:val="9"/>
    <w:link w:val="4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apple-converted-space"/>
    <w:basedOn w:val="9"/>
    <w:qFormat/>
    <w:uiPriority w:val="0"/>
  </w:style>
  <w:style w:type="paragraph" w:customStyle="1" w:styleId="15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6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7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9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2022-04-14T06:26:59Z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