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0312-2022-QEO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重庆佳雨龙润实业有限公司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2022年04月09日 上午至2022年04月09日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vAlign w:val="top"/>
          </w:tcPr>
          <w:p>
            <w:pPr>
              <w:rPr>
                <w:rFonts w:ascii="宋体" w:hAnsi="宋体"/>
                <w:b/>
                <w:color w:val="000000"/>
                <w:szCs w:val="21"/>
                <w:lang w:val="de-DE"/>
              </w:rPr>
            </w:pPr>
            <w:r>
              <w:rPr>
                <w:rFonts w:hint="eastAsia" w:ascii="宋体" w:hAnsi="宋体"/>
                <w:b/>
                <w:color w:val="000000"/>
                <w:szCs w:val="21"/>
                <w:lang w:val="de-DE"/>
              </w:rPr>
              <w:t>■GB/T19001-2016□GB/T 50430-2017■GB/T24001-2016</w:t>
            </w:r>
          </w:p>
          <w:p>
            <w:pPr>
              <w:rPr>
                <w:rFonts w:ascii="宋体" w:hAnsi="宋体"/>
                <w:b/>
                <w:color w:val="000000"/>
                <w:szCs w:val="21"/>
                <w:lang w:val="de-DE"/>
              </w:rPr>
            </w:pPr>
            <w:r>
              <w:rPr>
                <w:rFonts w:hint="eastAsia" w:ascii="宋体" w:hAnsi="宋体"/>
                <w:b/>
                <w:color w:val="000000"/>
                <w:szCs w:val="21"/>
                <w:lang w:val="de-DE"/>
              </w:rPr>
              <w:t>□GB/T28001-2011■ISO45001：2018</w:t>
            </w:r>
          </w:p>
          <w:p>
            <w:pPr>
              <w:rPr>
                <w:rFonts w:ascii="宋体" w:hAnsi="宋体"/>
                <w:b/>
                <w:color w:val="000000"/>
                <w:szCs w:val="21"/>
                <w:lang w:val="de-DE"/>
              </w:rPr>
            </w:pPr>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 xml:space="preserve">FSMS：□ GB/T22000-2006□ISO 22000-2018 </w:t>
            </w:r>
          </w:p>
          <w:p>
            <w:pPr>
              <w:rPr>
                <w:rFonts w:ascii="宋体" w:hAnsi="宋体"/>
                <w:b/>
                <w:color w:val="000000"/>
                <w:szCs w:val="21"/>
                <w:lang w:val="de-DE"/>
              </w:rPr>
            </w:pPr>
            <w:r>
              <w:rPr>
                <w:rFonts w:hint="eastAsia" w:ascii="宋体" w:hAnsi="宋体"/>
                <w:b/>
                <w:color w:val="000000"/>
                <w:szCs w:val="21"/>
                <w:lang w:val="de-DE"/>
              </w:rPr>
              <w:t>HACCP：□ GB/T27341-2009□ GB 14881-2013 □《危害分析与关键控制点（HACCP体系）认证补充要求 1.0》</w:t>
            </w:r>
          </w:p>
          <w:p>
            <w:pPr>
              <w:rPr>
                <w:rFonts w:ascii="宋体" w:hAnsi="宋体"/>
                <w:b/>
                <w:color w:val="000000"/>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eastAsia="宋体" w:cs="宋体"/>
                <w:b/>
                <w:color w:val="000000"/>
                <w:szCs w:val="21"/>
                <w:lang w:val="de-DE"/>
              </w:rPr>
              <w:t>■</w:t>
            </w:r>
            <w:r>
              <w:rPr>
                <w:rFonts w:hint="eastAsia" w:ascii="宋体" w:hAnsi="宋体"/>
                <w:b/>
                <w:color w:val="000000"/>
                <w:szCs w:val="21"/>
              </w:rPr>
              <w:t>顾客要求</w:t>
            </w:r>
          </w:p>
          <w:p>
            <w:pPr>
              <w:rPr>
                <w:rFonts w:ascii="Times New Roman" w:hAnsi="Times New Roman" w:eastAsia="宋体" w:cs="Times New Roman"/>
                <w:kern w:val="2"/>
                <w:sz w:val="21"/>
                <w:szCs w:val="21"/>
                <w:lang w:val="en-US" w:eastAsia="zh-CN" w:bidi="ar-SA"/>
              </w:rPr>
            </w:pPr>
            <w:r>
              <w:rPr>
                <w:rFonts w:hint="eastAsia" w:ascii="宋体" w:hAnsi="宋体" w:eastAsia="宋体" w:cs="宋体"/>
                <w:b/>
                <w:color w:val="000000"/>
                <w:szCs w:val="21"/>
                <w:lang w:val="de-DE"/>
              </w:rPr>
              <w:t>■</w:t>
            </w:r>
            <w:r>
              <w:rPr>
                <w:rFonts w:hint="eastAsia" w:ascii="宋体" w:hAnsi="宋体"/>
                <w:b/>
                <w:color w:val="000000"/>
                <w:szCs w:val="21"/>
                <w:lang w:val="de-DE"/>
              </w:rPr>
              <w:t>适用于受审核方的法律法规及其他要求</w:t>
            </w:r>
            <w:r>
              <w:rPr>
                <w:rFonts w:hint="eastAsia" w:ascii="宋体" w:hAnsi="宋体" w:eastAsia="宋体" w:cs="宋体"/>
                <w:b/>
                <w:color w:val="000000"/>
                <w:szCs w:val="21"/>
                <w:lang w:val="de-DE"/>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hAnsi="Times New Roman" w:eastAsia="宋体" w:cs="Times New Roman"/>
                <w:b/>
                <w:kern w:val="2"/>
                <w:sz w:val="21"/>
                <w:szCs w:val="21"/>
                <w:lang w:val="en-US" w:eastAsia="zh-CN" w:bidi="ar-SA"/>
              </w:rPr>
            </w:pPr>
            <w:r>
              <w:rPr>
                <w:rFonts w:hint="eastAsia" w:ascii="宋体"/>
                <w:b/>
                <w:szCs w:val="21"/>
              </w:rPr>
              <w:t>□单一体系审核□结合审核</w:t>
            </w:r>
            <w:r>
              <w:rPr>
                <w:rFonts w:hint="eastAsia" w:ascii="宋体" w:hAnsi="宋体" w:eastAsia="宋体" w:cs="宋体"/>
                <w:b/>
                <w:szCs w:val="21"/>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hAnsi="Times New Roman" w:eastAsia="宋体" w:cs="Times New Roman"/>
                <w:b/>
                <w:color w:val="000000"/>
                <w:kern w:val="2"/>
                <w:sz w:val="21"/>
                <w:szCs w:val="21"/>
                <w:lang w:val="en-US" w:eastAsia="zh-CN" w:bidi="ar-SA"/>
              </w:rPr>
            </w:pPr>
            <w:r>
              <w:rPr>
                <w:rFonts w:hint="eastAsia" w:ascii="宋体" w:hAnsi="宋体" w:eastAsia="宋体" w:cs="宋体"/>
                <w:b/>
                <w:color w:val="000000"/>
                <w:szCs w:val="21"/>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asciiTheme="minorEastAsia" w:hAnsiTheme="minorEastAsia" w:eastAsiaTheme="minorEastAsia"/>
                <w:sz w:val="20"/>
              </w:rPr>
              <w:t>重庆市南岸经开区长生桥镇茶园新区通江大道215号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040"/>
        <w:gridCol w:w="197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040" w:type="dxa"/>
            <w:vAlign w:val="center"/>
          </w:tcPr>
          <w:p>
            <w:pPr>
              <w:spacing w:line="240" w:lineRule="exact"/>
              <w:jc w:val="center"/>
              <w:rPr>
                <w:b/>
                <w:color w:val="000000"/>
                <w:szCs w:val="21"/>
              </w:rPr>
            </w:pPr>
            <w:r>
              <w:rPr>
                <w:rFonts w:hint="eastAsia"/>
                <w:szCs w:val="21"/>
              </w:rPr>
              <w:t>审核员注册证书号</w:t>
            </w:r>
          </w:p>
        </w:tc>
        <w:tc>
          <w:tcPr>
            <w:tcW w:w="197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040" w:type="dxa"/>
            <w:vAlign w:val="center"/>
          </w:tcPr>
          <w:p>
            <w:pPr>
              <w:spacing w:line="240" w:lineRule="exact"/>
              <w:jc w:val="center"/>
              <w:rPr>
                <w:b/>
                <w:color w:val="000000"/>
                <w:szCs w:val="21"/>
              </w:rPr>
            </w:pPr>
            <w:r>
              <w:rPr>
                <w:b/>
                <w:color w:val="000000"/>
                <w:szCs w:val="21"/>
              </w:rPr>
              <w:t>2020-N1QMS-1267598</w:t>
            </w:r>
          </w:p>
          <w:p>
            <w:pPr>
              <w:spacing w:line="240" w:lineRule="exact"/>
              <w:jc w:val="center"/>
              <w:rPr>
                <w:b/>
                <w:color w:val="000000"/>
                <w:szCs w:val="21"/>
              </w:rPr>
            </w:pPr>
            <w:r>
              <w:rPr>
                <w:b/>
                <w:color w:val="000000"/>
                <w:szCs w:val="21"/>
              </w:rPr>
              <w:t>2020-N1EMS-1267598</w:t>
            </w:r>
          </w:p>
          <w:p>
            <w:pPr>
              <w:spacing w:line="240" w:lineRule="exact"/>
              <w:jc w:val="center"/>
              <w:rPr>
                <w:b/>
                <w:color w:val="000000"/>
                <w:szCs w:val="21"/>
              </w:rPr>
            </w:pPr>
            <w:r>
              <w:rPr>
                <w:b/>
                <w:color w:val="000000"/>
                <w:szCs w:val="21"/>
              </w:rPr>
              <w:t>2021-N1OHSMS-1267598</w:t>
            </w:r>
          </w:p>
        </w:tc>
        <w:tc>
          <w:tcPr>
            <w:tcW w:w="197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040" w:type="dxa"/>
            <w:vAlign w:val="center"/>
          </w:tcPr>
          <w:p>
            <w:pPr>
              <w:spacing w:line="240" w:lineRule="exact"/>
              <w:jc w:val="center"/>
              <w:rPr>
                <w:b/>
                <w:color w:val="000000"/>
                <w:szCs w:val="21"/>
              </w:rPr>
            </w:pPr>
            <w:r>
              <w:rPr>
                <w:b/>
                <w:color w:val="000000"/>
                <w:szCs w:val="21"/>
              </w:rPr>
              <w:t>2020-N1QMS-1262293</w:t>
            </w:r>
          </w:p>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2021-N1OHSMS-1262293</w:t>
            </w:r>
          </w:p>
        </w:tc>
        <w:tc>
          <w:tcPr>
            <w:tcW w:w="197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040" w:type="dxa"/>
            <w:vAlign w:val="center"/>
          </w:tcPr>
          <w:p>
            <w:pPr>
              <w:rPr>
                <w:b/>
                <w:color w:val="000000"/>
                <w:szCs w:val="21"/>
              </w:rPr>
            </w:pPr>
          </w:p>
        </w:tc>
        <w:tc>
          <w:tcPr>
            <w:tcW w:w="197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040" w:type="dxa"/>
            <w:vAlign w:val="center"/>
          </w:tcPr>
          <w:p>
            <w:pPr>
              <w:rPr>
                <w:b/>
                <w:color w:val="000000"/>
                <w:szCs w:val="21"/>
              </w:rPr>
            </w:pPr>
          </w:p>
        </w:tc>
        <w:tc>
          <w:tcPr>
            <w:tcW w:w="197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040" w:type="dxa"/>
            <w:vAlign w:val="center"/>
          </w:tcPr>
          <w:p>
            <w:pPr>
              <w:rPr>
                <w:b/>
                <w:color w:val="000000"/>
                <w:szCs w:val="21"/>
              </w:rPr>
            </w:pPr>
            <w:r>
              <w:rPr>
                <w:rFonts w:hint="eastAsia"/>
                <w:b/>
                <w:color w:val="000000"/>
                <w:szCs w:val="21"/>
              </w:rPr>
              <w:t>工作单位</w:t>
            </w:r>
          </w:p>
        </w:tc>
        <w:tc>
          <w:tcPr>
            <w:tcW w:w="305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040" w:type="dxa"/>
            <w:vAlign w:val="center"/>
          </w:tcPr>
          <w:p>
            <w:pPr>
              <w:rPr>
                <w:b/>
                <w:color w:val="000000"/>
                <w:szCs w:val="21"/>
              </w:rPr>
            </w:pPr>
          </w:p>
        </w:tc>
        <w:tc>
          <w:tcPr>
            <w:tcW w:w="305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040" w:type="dxa"/>
            <w:vAlign w:val="center"/>
          </w:tcPr>
          <w:p>
            <w:pPr>
              <w:rPr>
                <w:b/>
                <w:color w:val="000000"/>
                <w:szCs w:val="21"/>
                <w:highlight w:val="green"/>
              </w:rPr>
            </w:pPr>
          </w:p>
        </w:tc>
        <w:tc>
          <w:tcPr>
            <w:tcW w:w="305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7" w:name="组织名称Add1"/>
            <w:r>
              <w:rPr>
                <w:rFonts w:ascii="宋体"/>
                <w:b/>
                <w:color w:val="000000"/>
                <w:szCs w:val="21"/>
              </w:rPr>
              <w:t>重庆佳雨龙润实业有限公司</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8" w:name="注册地址"/>
            <w:r>
              <w:rPr>
                <w:rFonts w:ascii="宋体"/>
                <w:b/>
                <w:color w:val="000000"/>
                <w:szCs w:val="21"/>
              </w:rPr>
              <w:t>重庆市南岸经开区长生桥镇茶园新区通江大道215号</w:t>
            </w:r>
            <w:bookmarkEnd w:id="18"/>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9" w:name="注册邮编"/>
            <w:r>
              <w:rPr>
                <w:rFonts w:ascii="宋体"/>
                <w:b/>
                <w:color w:val="000000"/>
                <w:szCs w:val="21"/>
              </w:rPr>
              <w:t>400000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0" w:name="办公地址"/>
            <w:bookmarkStart w:id="21" w:name="生产地址"/>
            <w:r>
              <w:rPr>
                <w:rFonts w:ascii="宋体"/>
                <w:b/>
                <w:color w:val="000000"/>
                <w:szCs w:val="21"/>
              </w:rPr>
              <w:t>重庆市南岸经开区长生桥镇茶园新区通江大道215号</w:t>
            </w:r>
            <w:bookmarkEnd w:id="20"/>
            <w:bookmarkEnd w:id="21"/>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2" w:name="办公邮编"/>
            <w:r>
              <w:rPr>
                <w:rFonts w:ascii="宋体"/>
                <w:b/>
                <w:color w:val="000000"/>
                <w:szCs w:val="21"/>
              </w:rPr>
              <w:t>400000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3" w:name="联系人"/>
            <w:r>
              <w:rPr>
                <w:rFonts w:ascii="宋体"/>
                <w:b/>
                <w:color w:val="000000"/>
                <w:szCs w:val="21"/>
              </w:rPr>
              <w:t>倪燕</w:t>
            </w:r>
            <w:bookmarkEnd w:id="23"/>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4" w:name="联系人手机"/>
            <w:r>
              <w:rPr>
                <w:rFonts w:ascii="宋体"/>
                <w:b/>
                <w:color w:val="000000"/>
                <w:szCs w:val="21"/>
              </w:rPr>
              <w:t>13228685343</w:t>
            </w:r>
            <w:bookmarkEnd w:id="24"/>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5" w:name="联系人传真"/>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6" w:name="法人"/>
            <w:r>
              <w:rPr>
                <w:rFonts w:ascii="宋体"/>
                <w:b/>
                <w:color w:val="000000"/>
                <w:szCs w:val="21"/>
              </w:rPr>
              <w:t>钟英</w:t>
            </w:r>
            <w:bookmarkEnd w:id="26"/>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7" w:name="管理者代表"/>
            <w:r>
              <w:rPr>
                <w:rFonts w:ascii="宋体"/>
                <w:b/>
                <w:color w:val="000000"/>
                <w:szCs w:val="21"/>
              </w:rPr>
              <w:t>张佐</w:t>
            </w:r>
            <w:bookmarkEnd w:id="27"/>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sz w:val="20"/>
                <w:lang w:eastAsia="zh-CN"/>
              </w:rPr>
              <w:t>电线、电缆、发电机、变压器的销售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highlight w:val="none"/>
              </w:rPr>
            </w:pPr>
            <w:r>
              <w:rPr>
                <w:rFonts w:hint="eastAsia" w:ascii="宋体" w:hAnsi="宋体"/>
                <w:color w:val="000000"/>
                <w:szCs w:val="21"/>
                <w:highlight w:val="none"/>
              </w:rPr>
              <w:t>生产/服务提供流程简图</w:t>
            </w:r>
          </w:p>
          <w:p>
            <w:pPr>
              <w:tabs>
                <w:tab w:val="left" w:pos="0"/>
              </w:tabs>
              <w:rPr>
                <w:rFonts w:ascii="宋体" w:hAnsi="宋体"/>
                <w:color w:val="000000"/>
                <w:szCs w:val="21"/>
                <w:highlight w:val="none"/>
              </w:rPr>
            </w:pPr>
          </w:p>
          <w:p>
            <w:pPr>
              <w:tabs>
                <w:tab w:val="left" w:pos="0"/>
              </w:tabs>
              <w:rPr>
                <w:rFonts w:ascii="宋体" w:hAnsi="宋体"/>
                <w:color w:val="000000"/>
                <w:szCs w:val="21"/>
                <w:highlight w:val="none"/>
              </w:rPr>
            </w:pPr>
          </w:p>
        </w:tc>
        <w:tc>
          <w:tcPr>
            <w:tcW w:w="8058" w:type="dxa"/>
            <w:gridSpan w:val="7"/>
            <w:shd w:val="clear" w:color="auto" w:fill="auto"/>
          </w:tcPr>
          <w:p>
            <w:pPr>
              <w:tabs>
                <w:tab w:val="left" w:pos="2385"/>
              </w:tabs>
              <w:spacing w:line="360" w:lineRule="auto"/>
              <w:rPr>
                <w:rFonts w:hint="eastAsia" w:ascii="Times New Roman" w:hAnsi="Times New Roman" w:eastAsia="宋体" w:cs="Times New Roman"/>
                <w:bCs/>
                <w:color w:val="000000"/>
                <w:highlight w:val="none"/>
              </w:rPr>
            </w:pPr>
            <w:r>
              <w:rPr>
                <w:rFonts w:hint="eastAsia" w:ascii="Times New Roman" w:hAnsi="Times New Roman" w:eastAsia="宋体" w:cs="Times New Roman"/>
                <w:color w:val="000000"/>
                <w:highlight w:val="none"/>
              </w:rPr>
              <w:t>客户沟通询价—业务洽谈—合同签订—采购产品—检验—产品销售—客户签收—售后服务</w:t>
            </w:r>
          </w:p>
          <w:p>
            <w:pP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sz w:val="20"/>
                <w:lang w:eastAsia="zh-CN"/>
              </w:rPr>
              <w:t>电线、电缆、发电机、变压器的销售</w:t>
            </w:r>
          </w:p>
        </w:tc>
        <w:tc>
          <w:tcPr>
            <w:tcW w:w="2006" w:type="dxa"/>
            <w:gridSpan w:val="3"/>
            <w:vAlign w:val="center"/>
          </w:tcPr>
          <w:p>
            <w:pPr>
              <w:spacing w:line="400" w:lineRule="exact"/>
              <w:rPr>
                <w:rFonts w:ascii="宋体" w:hAnsi="宋体"/>
                <w:b/>
                <w:color w:val="000000"/>
                <w:szCs w:val="21"/>
              </w:rPr>
            </w:pPr>
            <w:r>
              <w:rPr>
                <w:sz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rPr>
                <w:rFonts w:hint="eastAsia"/>
                <w:sz w:val="20"/>
                <w:lang w:eastAsia="zh-CN"/>
              </w:rPr>
              <w:t>电线、电缆、发电机、变压器的销售</w:t>
            </w:r>
            <w:r>
              <w:rPr>
                <w:sz w:val="20"/>
              </w:rPr>
              <w:t>所涉及场所的相关环境管理活动</w:t>
            </w:r>
          </w:p>
        </w:tc>
        <w:tc>
          <w:tcPr>
            <w:tcW w:w="2006" w:type="dxa"/>
            <w:gridSpan w:val="3"/>
            <w:vAlign w:val="center"/>
          </w:tcPr>
          <w:p>
            <w:pPr>
              <w:spacing w:line="400" w:lineRule="exact"/>
              <w:rPr>
                <w:rFonts w:ascii="宋体" w:hAnsi="宋体"/>
                <w:b/>
                <w:color w:val="000000"/>
                <w:szCs w:val="21"/>
              </w:rPr>
            </w:pPr>
            <w:r>
              <w:rPr>
                <w:sz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sz w:val="20"/>
                <w:lang w:eastAsia="zh-CN"/>
              </w:rPr>
              <w:t>电线、电缆、发电机、变压器的销售</w:t>
            </w:r>
            <w:r>
              <w:rPr>
                <w:sz w:val="20"/>
              </w:rPr>
              <w:t>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59"/>
        <w:gridCol w:w="840"/>
        <w:gridCol w:w="1930"/>
        <w:gridCol w:w="198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5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840"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1930"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98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重庆佳雨龙润实业有限公司</w:t>
            </w:r>
            <w:r>
              <w:rPr>
                <w:rFonts w:hint="eastAsia"/>
                <w:sz w:val="21"/>
                <w:szCs w:val="21"/>
                <w:lang w:val="en-US" w:eastAsia="zh-CN"/>
              </w:rPr>
              <w:t>/</w:t>
            </w:r>
            <w:r>
              <w:rPr>
                <w:rFonts w:asciiTheme="minorEastAsia" w:hAnsiTheme="minorEastAsia" w:eastAsiaTheme="minorEastAsia"/>
                <w:sz w:val="20"/>
              </w:rPr>
              <w:t>重庆市南岸经开区长生桥镇茶园新区通江大道215号</w:t>
            </w:r>
          </w:p>
        </w:tc>
        <w:tc>
          <w:tcPr>
            <w:tcW w:w="1559" w:type="dxa"/>
          </w:tcPr>
          <w:p>
            <w:pPr>
              <w:spacing w:before="40" w:after="40"/>
              <w:rPr>
                <w:rFonts w:eastAsia="黑体"/>
                <w:szCs w:val="21"/>
                <w:lang w:val="de-DE" w:eastAsia="ja-JP"/>
              </w:rPr>
            </w:pPr>
            <w:r>
              <w:rPr>
                <w:rFonts w:asciiTheme="minorEastAsia" w:hAnsiTheme="minorEastAsia" w:eastAsiaTheme="minorEastAsia"/>
                <w:sz w:val="20"/>
              </w:rPr>
              <w:t>重庆市南岸经开区长生桥镇茶园新区通江大道215号</w:t>
            </w:r>
          </w:p>
        </w:tc>
        <w:tc>
          <w:tcPr>
            <w:tcW w:w="840" w:type="dxa"/>
            <w:vAlign w:val="center"/>
          </w:tcPr>
          <w:p>
            <w:pPr>
              <w:spacing w:before="40" w:after="40"/>
              <w:rPr>
                <w:rFonts w:hint="default" w:eastAsia="黑体"/>
                <w:szCs w:val="21"/>
                <w:lang w:val="en-US" w:eastAsia="zh-CN"/>
              </w:rPr>
            </w:pPr>
            <w:r>
              <w:rPr>
                <w:rFonts w:hint="eastAsia" w:eastAsia="黑体"/>
                <w:szCs w:val="21"/>
                <w:lang w:val="en-US" w:eastAsia="zh-CN"/>
              </w:rPr>
              <w:t>5</w:t>
            </w:r>
          </w:p>
        </w:tc>
        <w:tc>
          <w:tcPr>
            <w:tcW w:w="1930" w:type="dxa"/>
            <w:vAlign w:val="center"/>
          </w:tcPr>
          <w:p>
            <w:pPr>
              <w:rPr>
                <w:rFonts w:hint="eastAsia" w:eastAsia="宋体"/>
                <w:sz w:val="20"/>
                <w:lang w:eastAsia="zh-CN"/>
              </w:rPr>
            </w:pPr>
            <w:bookmarkStart w:id="28" w:name="审核范围"/>
            <w:r>
              <w:rPr>
                <w:rFonts w:hint="eastAsia"/>
                <w:sz w:val="20"/>
                <w:lang w:eastAsia="zh-CN"/>
              </w:rPr>
              <w:t>电线、电缆、发电机、变压器的销售</w:t>
            </w:r>
          </w:p>
          <w:bookmarkEnd w:id="28"/>
          <w:p>
            <w:pPr>
              <w:pStyle w:val="21"/>
              <w:rPr>
                <w:rFonts w:eastAsia="黑体" w:cs="Arial"/>
                <w:sz w:val="21"/>
                <w:szCs w:val="21"/>
                <w:lang w:val="en-US" w:eastAsia="ja-JP"/>
              </w:rPr>
            </w:pPr>
          </w:p>
        </w:tc>
        <w:tc>
          <w:tcPr>
            <w:tcW w:w="1981" w:type="dxa"/>
            <w:vAlign w:val="top"/>
          </w:tcPr>
          <w:p>
            <w:pPr>
              <w:spacing w:before="40" w:after="40"/>
              <w:rPr>
                <w:rFonts w:hint="eastAsia" w:ascii="宋体" w:hAnsi="宋体"/>
                <w:b w:val="0"/>
                <w:bCs/>
                <w:szCs w:val="21"/>
              </w:rPr>
            </w:pPr>
            <w:r>
              <w:rPr>
                <w:rFonts w:hint="eastAsia" w:ascii="宋体" w:hAnsi="宋体"/>
                <w:b w:val="0"/>
                <w:bCs/>
                <w:szCs w:val="21"/>
              </w:rPr>
              <w:t>GB/T19001-2016</w:t>
            </w:r>
          </w:p>
          <w:p>
            <w:pPr>
              <w:rPr>
                <w:rFonts w:ascii="Times New Roman" w:hAnsi="Times New Roman" w:eastAsia="黑体" w:cs="Times New Roman"/>
                <w:b w:val="0"/>
                <w:bCs/>
                <w:kern w:val="2"/>
                <w:sz w:val="21"/>
                <w:szCs w:val="21"/>
                <w:lang w:val="en-US" w:eastAsia="ja-JP" w:bidi="ar-SA"/>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top"/>
          </w:tcPr>
          <w:p>
            <w:pPr>
              <w:spacing w:before="40" w:after="40"/>
              <w:rPr>
                <w:rFonts w:eastAsia="黑体"/>
                <w:szCs w:val="21"/>
                <w:lang w:eastAsia="ja-JP"/>
              </w:rPr>
            </w:pPr>
            <w:r>
              <w:rPr>
                <w:sz w:val="21"/>
                <w:szCs w:val="21"/>
              </w:rPr>
              <w:t>重庆佳雨龙润实业有限公司</w:t>
            </w:r>
            <w:r>
              <w:rPr>
                <w:rFonts w:hint="eastAsia"/>
                <w:sz w:val="21"/>
                <w:szCs w:val="21"/>
                <w:lang w:val="en-US" w:eastAsia="zh-CN"/>
              </w:rPr>
              <w:t>/</w:t>
            </w:r>
            <w:r>
              <w:rPr>
                <w:rFonts w:asciiTheme="minorEastAsia" w:hAnsiTheme="minorEastAsia" w:eastAsiaTheme="minorEastAsia"/>
                <w:sz w:val="20"/>
              </w:rPr>
              <w:t>重庆市南岸经开区长生桥镇茶园新区通江大道215号</w:t>
            </w:r>
          </w:p>
        </w:tc>
        <w:tc>
          <w:tcPr>
            <w:tcW w:w="1559" w:type="dxa"/>
            <w:vAlign w:val="top"/>
          </w:tcPr>
          <w:p>
            <w:pPr>
              <w:spacing w:before="40" w:after="40"/>
              <w:rPr>
                <w:rFonts w:eastAsia="黑体"/>
                <w:szCs w:val="21"/>
                <w:lang w:eastAsia="ja-JP"/>
              </w:rPr>
            </w:pPr>
            <w:r>
              <w:rPr>
                <w:rFonts w:asciiTheme="minorEastAsia" w:hAnsiTheme="minorEastAsia" w:eastAsiaTheme="minorEastAsia"/>
                <w:sz w:val="20"/>
              </w:rPr>
              <w:t>重庆市南岸经开区长生桥镇茶园新区通江大道215号</w:t>
            </w:r>
          </w:p>
        </w:tc>
        <w:tc>
          <w:tcPr>
            <w:tcW w:w="840" w:type="dxa"/>
            <w:vAlign w:val="center"/>
          </w:tcPr>
          <w:p>
            <w:pPr>
              <w:spacing w:before="40" w:after="40"/>
              <w:rPr>
                <w:rFonts w:eastAsia="黑体"/>
                <w:szCs w:val="21"/>
                <w:lang w:eastAsia="ja-JP"/>
              </w:rPr>
            </w:pPr>
            <w:r>
              <w:rPr>
                <w:rFonts w:hint="eastAsia" w:eastAsia="黑体"/>
                <w:szCs w:val="21"/>
                <w:lang w:val="en-US" w:eastAsia="zh-CN"/>
              </w:rPr>
              <w:t>5</w:t>
            </w:r>
          </w:p>
        </w:tc>
        <w:tc>
          <w:tcPr>
            <w:tcW w:w="1930" w:type="dxa"/>
            <w:vAlign w:val="center"/>
          </w:tcPr>
          <w:p>
            <w:pPr>
              <w:rPr>
                <w:rFonts w:eastAsia="黑体"/>
                <w:szCs w:val="21"/>
                <w:lang w:eastAsia="ja-JP"/>
              </w:rPr>
            </w:pPr>
            <w:r>
              <w:rPr>
                <w:rFonts w:hint="eastAsia"/>
                <w:sz w:val="20"/>
                <w:lang w:eastAsia="zh-CN"/>
              </w:rPr>
              <w:t>电线、电缆、发电机、变压器的销售</w:t>
            </w:r>
            <w:r>
              <w:rPr>
                <w:sz w:val="20"/>
              </w:rPr>
              <w:t>所涉及场所的相关环境管理活动</w:t>
            </w:r>
          </w:p>
        </w:tc>
        <w:tc>
          <w:tcPr>
            <w:tcW w:w="1981" w:type="dxa"/>
            <w:vAlign w:val="center"/>
          </w:tcPr>
          <w:p>
            <w:pPr>
              <w:spacing w:before="40" w:after="40"/>
              <w:rPr>
                <w:rFonts w:hint="eastAsia" w:ascii="宋体" w:hAnsi="宋体"/>
                <w:b w:val="0"/>
                <w:bCs/>
                <w:szCs w:val="21"/>
              </w:rPr>
            </w:pPr>
            <w:r>
              <w:rPr>
                <w:rFonts w:hint="eastAsia" w:ascii="宋体" w:hAnsi="宋体"/>
                <w:b w:val="0"/>
                <w:bCs/>
                <w:szCs w:val="21"/>
              </w:rPr>
              <w:t>GB/T24001-2016</w:t>
            </w:r>
          </w:p>
          <w:p>
            <w:pPr>
              <w:spacing w:before="40" w:after="40"/>
              <w:rPr>
                <w:rFonts w:eastAsia="黑体"/>
                <w:szCs w:val="21"/>
                <w:lang w:eastAsia="ja-JP"/>
              </w:rPr>
            </w:pPr>
          </w:p>
        </w:tc>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top"/>
          </w:tcPr>
          <w:p>
            <w:pPr>
              <w:spacing w:before="40" w:after="40"/>
              <w:rPr>
                <w:rFonts w:eastAsia="黑体"/>
                <w:szCs w:val="21"/>
                <w:lang w:eastAsia="ja-JP"/>
              </w:rPr>
            </w:pPr>
            <w:r>
              <w:rPr>
                <w:sz w:val="21"/>
                <w:szCs w:val="21"/>
              </w:rPr>
              <w:t>重庆佳雨龙润实业有限公司</w:t>
            </w:r>
            <w:r>
              <w:rPr>
                <w:rFonts w:hint="eastAsia"/>
                <w:sz w:val="21"/>
                <w:szCs w:val="21"/>
                <w:lang w:val="en-US" w:eastAsia="zh-CN"/>
              </w:rPr>
              <w:t>/</w:t>
            </w:r>
            <w:r>
              <w:rPr>
                <w:rFonts w:asciiTheme="minorEastAsia" w:hAnsiTheme="minorEastAsia" w:eastAsiaTheme="minorEastAsia"/>
                <w:sz w:val="20"/>
              </w:rPr>
              <w:t>重庆市南岸经开区长生桥镇茶园新区通江大道215号</w:t>
            </w:r>
          </w:p>
        </w:tc>
        <w:tc>
          <w:tcPr>
            <w:tcW w:w="1559" w:type="dxa"/>
            <w:vAlign w:val="top"/>
          </w:tcPr>
          <w:p>
            <w:pPr>
              <w:spacing w:before="40" w:after="40"/>
              <w:rPr>
                <w:rFonts w:eastAsia="黑体"/>
                <w:szCs w:val="21"/>
                <w:lang w:eastAsia="ja-JP"/>
              </w:rPr>
            </w:pPr>
            <w:r>
              <w:rPr>
                <w:rFonts w:asciiTheme="minorEastAsia" w:hAnsiTheme="minorEastAsia" w:eastAsiaTheme="minorEastAsia"/>
                <w:sz w:val="20"/>
              </w:rPr>
              <w:t>重庆市南岸经开区长生桥镇茶园新区通江大道215号</w:t>
            </w:r>
          </w:p>
        </w:tc>
        <w:tc>
          <w:tcPr>
            <w:tcW w:w="840" w:type="dxa"/>
            <w:vAlign w:val="center"/>
          </w:tcPr>
          <w:p>
            <w:pPr>
              <w:spacing w:before="40" w:after="40"/>
              <w:rPr>
                <w:rFonts w:eastAsia="黑体"/>
                <w:szCs w:val="21"/>
                <w:lang w:eastAsia="ja-JP"/>
              </w:rPr>
            </w:pPr>
            <w:r>
              <w:rPr>
                <w:rFonts w:hint="eastAsia" w:eastAsia="黑体"/>
                <w:szCs w:val="21"/>
                <w:lang w:val="en-US" w:eastAsia="zh-CN"/>
              </w:rPr>
              <w:t>5</w:t>
            </w:r>
          </w:p>
        </w:tc>
        <w:tc>
          <w:tcPr>
            <w:tcW w:w="1930" w:type="dxa"/>
            <w:vAlign w:val="center"/>
          </w:tcPr>
          <w:p>
            <w:pPr>
              <w:spacing w:before="40" w:after="40"/>
              <w:rPr>
                <w:rFonts w:eastAsia="黑体"/>
                <w:szCs w:val="21"/>
                <w:lang w:eastAsia="ja-JP"/>
              </w:rPr>
            </w:pPr>
            <w:r>
              <w:rPr>
                <w:rFonts w:hint="eastAsia"/>
                <w:sz w:val="20"/>
                <w:lang w:eastAsia="zh-CN"/>
              </w:rPr>
              <w:t>电线、电缆、发电机、变压器的销售</w:t>
            </w:r>
            <w:r>
              <w:rPr>
                <w:sz w:val="20"/>
              </w:rPr>
              <w:t>所涉及场所的相关职业健康安全管理活动</w:t>
            </w:r>
          </w:p>
        </w:tc>
        <w:tc>
          <w:tcPr>
            <w:tcW w:w="1981" w:type="dxa"/>
            <w:vAlign w:val="center"/>
          </w:tcPr>
          <w:p>
            <w:pPr>
              <w:spacing w:before="40" w:after="40"/>
              <w:rPr>
                <w:rFonts w:eastAsia="黑体"/>
                <w:szCs w:val="21"/>
                <w:lang w:eastAsia="ja-JP"/>
              </w:rPr>
            </w:pPr>
            <w:r>
              <w:rPr>
                <w:rFonts w:hint="eastAsia" w:ascii="宋体" w:hAnsi="宋体"/>
                <w:b w:val="0"/>
                <w:bCs/>
                <w:szCs w:val="21"/>
              </w:rPr>
              <w:t>GB/T 45001-2020</w:t>
            </w:r>
          </w:p>
        </w:tc>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559" w:type="dxa"/>
            <w:vAlign w:val="center"/>
          </w:tcPr>
          <w:p>
            <w:pPr>
              <w:spacing w:before="40" w:after="40"/>
              <w:rPr>
                <w:rFonts w:eastAsia="黑体"/>
                <w:szCs w:val="21"/>
                <w:lang w:eastAsia="ja-JP"/>
              </w:rPr>
            </w:pPr>
          </w:p>
        </w:tc>
        <w:tc>
          <w:tcPr>
            <w:tcW w:w="840" w:type="dxa"/>
            <w:vAlign w:val="center"/>
          </w:tcPr>
          <w:p>
            <w:pPr>
              <w:spacing w:before="40" w:after="40"/>
              <w:rPr>
                <w:rFonts w:eastAsia="黑体"/>
                <w:szCs w:val="21"/>
                <w:lang w:eastAsia="ja-JP"/>
              </w:rPr>
            </w:pPr>
          </w:p>
        </w:tc>
        <w:tc>
          <w:tcPr>
            <w:tcW w:w="1930" w:type="dxa"/>
            <w:vAlign w:val="center"/>
          </w:tcPr>
          <w:p>
            <w:pPr>
              <w:spacing w:before="40" w:after="40"/>
              <w:rPr>
                <w:rFonts w:eastAsia="黑体"/>
                <w:szCs w:val="21"/>
                <w:lang w:eastAsia="ja-JP"/>
              </w:rPr>
            </w:pPr>
          </w:p>
        </w:tc>
        <w:tc>
          <w:tcPr>
            <w:tcW w:w="198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559" w:type="dxa"/>
            <w:vAlign w:val="center"/>
          </w:tcPr>
          <w:p>
            <w:pPr>
              <w:spacing w:before="40" w:after="40"/>
              <w:rPr>
                <w:rFonts w:eastAsia="黑体"/>
                <w:szCs w:val="21"/>
                <w:lang w:eastAsia="ja-JP"/>
              </w:rPr>
            </w:pPr>
          </w:p>
        </w:tc>
        <w:tc>
          <w:tcPr>
            <w:tcW w:w="840" w:type="dxa"/>
            <w:vAlign w:val="center"/>
          </w:tcPr>
          <w:p>
            <w:pPr>
              <w:spacing w:before="40" w:after="40"/>
              <w:rPr>
                <w:rFonts w:eastAsia="黑体"/>
                <w:szCs w:val="21"/>
                <w:lang w:eastAsia="ja-JP"/>
              </w:rPr>
            </w:pPr>
          </w:p>
        </w:tc>
        <w:tc>
          <w:tcPr>
            <w:tcW w:w="1930" w:type="dxa"/>
            <w:vAlign w:val="center"/>
          </w:tcPr>
          <w:p>
            <w:pPr>
              <w:spacing w:before="40" w:after="40"/>
              <w:rPr>
                <w:rFonts w:eastAsia="黑体"/>
                <w:szCs w:val="21"/>
                <w:lang w:eastAsia="ja-JP"/>
              </w:rPr>
            </w:pPr>
          </w:p>
        </w:tc>
        <w:tc>
          <w:tcPr>
            <w:tcW w:w="198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1"/>
        <w:gridCol w:w="1194"/>
        <w:gridCol w:w="1461"/>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194"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194"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194"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194"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194"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194"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194"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194" w:type="dxa"/>
            <w:shd w:val="clear" w:color="auto" w:fill="auto"/>
            <w:vAlign w:val="center"/>
          </w:tcPr>
          <w:p>
            <w:pPr>
              <w:pStyle w:val="23"/>
              <w:jc w:val="left"/>
              <w:rPr>
                <w:rFonts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vAlign w:val="top"/>
          </w:tcPr>
          <w:p>
            <w:pPr>
              <w:rPr>
                <w:rFonts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194"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194"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hint="eastAsia" w:ascii="宋体" w:hAnsi="宋体"/>
          <w:b/>
          <w:color w:val="000000"/>
          <w:szCs w:val="21"/>
        </w:rPr>
      </w:pPr>
      <w:r>
        <w:rPr>
          <w:rFonts w:hint="eastAsia" w:ascii="宋体" w:hAnsi="宋体"/>
          <w:b/>
          <w:color w:val="000000"/>
          <w:szCs w:val="21"/>
        </w:rPr>
        <w:t>1.总体描述</w:t>
      </w:r>
    </w:p>
    <w:tbl>
      <w:tblPr>
        <w:tblStyle w:val="9"/>
        <w:tblpPr w:leftFromText="180" w:rightFromText="180" w:vertAnchor="text" w:horzAnchor="page" w:tblpX="1214" w:tblpY="500"/>
        <w:tblOverlap w:val="never"/>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rPr>
                <w:rFonts w:ascii="宋体" w:hAnsi="宋体"/>
                <w:b/>
                <w:color w:val="000000"/>
                <w:szCs w:val="21"/>
                <w:highlight w:val="none"/>
              </w:rPr>
            </w:pPr>
            <w:r>
              <w:rPr>
                <w:rFonts w:hint="eastAsia" w:ascii="宋体" w:hAnsi="宋体"/>
                <w:b/>
                <w:color w:val="000000"/>
                <w:szCs w:val="21"/>
                <w:highlight w:val="none"/>
              </w:rPr>
              <w:t>10.</w:t>
            </w:r>
            <w:r>
              <w:rPr>
                <w:rFonts w:hint="eastAsia" w:ascii="宋体" w:hAnsi="宋体"/>
                <w:b/>
                <w:color w:val="000000"/>
                <w:szCs w:val="21"/>
                <w:highlight w:val="none"/>
                <w:u w:val="single"/>
              </w:rPr>
              <w:t>于</w:t>
            </w:r>
            <w:r>
              <w:rPr>
                <w:rFonts w:hint="eastAsia" w:ascii="宋体" w:hAnsi="宋体"/>
                <w:b/>
                <w:color w:val="000000"/>
                <w:szCs w:val="21"/>
                <w:highlight w:val="none"/>
                <w:u w:val="single"/>
                <w:lang w:eastAsia="zh-CN"/>
              </w:rPr>
              <w:t xml:space="preserve"> 2021年10月8日</w:t>
            </w:r>
            <w:r>
              <w:rPr>
                <w:rFonts w:hint="eastAsia" w:ascii="宋体" w:hAnsi="宋体"/>
                <w:b/>
                <w:color w:val="000000"/>
                <w:szCs w:val="21"/>
                <w:highlight w:val="none"/>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rPr>
                <w:rFonts w:ascii="宋体" w:hAnsi="宋体"/>
                <w:b/>
                <w:color w:val="000000"/>
                <w:szCs w:val="21"/>
                <w:highlight w:val="none"/>
              </w:rPr>
            </w:pPr>
            <w:r>
              <w:rPr>
                <w:rFonts w:hint="eastAsia" w:ascii="宋体" w:hAnsi="宋体"/>
                <w:b/>
                <w:color w:val="000000"/>
                <w:szCs w:val="21"/>
                <w:highlight w:val="none"/>
              </w:rPr>
              <w:t>11.已根据策划和标准要求</w:t>
            </w:r>
            <w:r>
              <w:rPr>
                <w:rFonts w:hint="eastAsia" w:ascii="宋体" w:hAnsi="宋体" w:eastAsia="宋体" w:cs="Times New Roman"/>
                <w:b/>
                <w:color w:val="000000"/>
                <w:szCs w:val="21"/>
                <w:highlight w:val="none"/>
              </w:rPr>
              <w:t>于</w:t>
            </w:r>
            <w:r>
              <w:rPr>
                <w:rFonts w:hint="eastAsia" w:ascii="宋体" w:hAnsi="宋体" w:cs="Times New Roman"/>
                <w:b/>
                <w:color w:val="000000"/>
                <w:szCs w:val="21"/>
                <w:highlight w:val="none"/>
                <w:u w:val="single"/>
                <w:lang w:val="en-US" w:eastAsia="zh-CN"/>
              </w:rPr>
              <w:t>2022年2月18日</w:t>
            </w:r>
            <w:r>
              <w:rPr>
                <w:rFonts w:hint="eastAsia" w:ascii="宋体" w:hAnsi="宋体" w:eastAsia="宋体" w:cs="Times New Roman"/>
                <w:b/>
                <w:color w:val="000000"/>
                <w:szCs w:val="21"/>
                <w:highlight w:val="none"/>
              </w:rPr>
              <w:t>由</w:t>
            </w:r>
            <w:r>
              <w:rPr>
                <w:rFonts w:hint="eastAsia" w:ascii="宋体" w:hAnsi="宋体"/>
                <w:b/>
                <w:color w:val="000000"/>
                <w:szCs w:val="21"/>
                <w:highlight w:val="none"/>
              </w:rPr>
              <w:t>有</w:t>
            </w:r>
            <w:r>
              <w:rPr>
                <w:rFonts w:hint="eastAsia" w:ascii="宋体" w:hAnsi="宋体"/>
                <w:b/>
                <w:color w:val="000000"/>
                <w:szCs w:val="21"/>
                <w:highlight w:val="none"/>
              </w:rPr>
              <w:t>能力的人实施了内部审核，覆盖所有场所、部门和过程，</w:t>
            </w:r>
            <w:r>
              <w:rPr>
                <w:rFonts w:hint="eastAsia" w:ascii="宋体" w:hAnsi="宋体"/>
                <w:b/>
                <w:color w:val="000000"/>
                <w:szCs w:val="21"/>
                <w:highlight w:val="none"/>
                <w:lang w:val="en-GB"/>
              </w:rPr>
              <w:t>组织通过内审验证了管理体系的</w:t>
            </w:r>
            <w:r>
              <w:rPr>
                <w:rFonts w:hint="eastAsia" w:ascii="宋体" w:hAnsi="宋体"/>
                <w:b/>
                <w:color w:val="000000"/>
                <w:szCs w:val="21"/>
                <w:highlight w:val="none"/>
              </w:rPr>
              <w:t>符合性</w:t>
            </w:r>
            <w:r>
              <w:rPr>
                <w:rFonts w:hint="eastAsia" w:ascii="宋体" w:hAnsi="宋体"/>
                <w:b/>
                <w:color w:val="000000"/>
                <w:szCs w:val="21"/>
                <w:highlight w:val="none"/>
                <w:lang w:val="en-GB"/>
              </w:rPr>
              <w:t>及有效性，</w:t>
            </w:r>
            <w:r>
              <w:rPr>
                <w:rFonts w:hint="eastAsia" w:ascii="宋体" w:hAnsi="宋体"/>
                <w:b/>
                <w:color w:val="000000"/>
                <w:szCs w:val="21"/>
                <w:highlight w:val="none"/>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pStyle w:val="23"/>
              <w:spacing w:before="40" w:after="40"/>
              <w:jc w:val="left"/>
              <w:rPr>
                <w:rFonts w:ascii="宋体" w:hAnsi="宋体" w:eastAsia="宋体"/>
                <w:color w:val="000000"/>
                <w:sz w:val="21"/>
                <w:szCs w:val="21"/>
                <w:highlight w:val="none"/>
                <w:lang w:val="en-GB" w:eastAsia="zh-CN"/>
              </w:rPr>
            </w:pPr>
            <w:r>
              <w:rPr>
                <w:rFonts w:hint="eastAsia" w:ascii="宋体" w:hAnsi="宋体" w:eastAsia="宋体"/>
                <w:color w:val="000000"/>
                <w:sz w:val="21"/>
                <w:szCs w:val="21"/>
                <w:highlight w:val="none"/>
                <w:lang w:val="en-US" w:eastAsia="zh-CN"/>
              </w:rPr>
              <w:t>12.已根据策划</w:t>
            </w:r>
            <w:r>
              <w:rPr>
                <w:rFonts w:hint="eastAsia" w:ascii="宋体" w:hAnsi="宋体" w:eastAsia="宋体" w:cs="Times New Roman"/>
                <w:b/>
                <w:color w:val="000000"/>
                <w:kern w:val="2"/>
                <w:sz w:val="21"/>
                <w:szCs w:val="21"/>
                <w:highlight w:val="none"/>
                <w:u w:val="single"/>
                <w:lang w:val="en-US" w:eastAsia="zh-CN" w:bidi="ar-SA"/>
              </w:rPr>
              <w:t>于2022年3月15日</w:t>
            </w:r>
            <w:r>
              <w:rPr>
                <w:rFonts w:hint="eastAsia" w:ascii="宋体" w:hAnsi="宋体" w:eastAsia="宋体"/>
                <w:color w:val="000000"/>
                <w:sz w:val="21"/>
                <w:szCs w:val="21"/>
                <w:highlight w:val="none"/>
                <w:lang w:val="en-US" w:eastAsia="zh-CN"/>
              </w:rPr>
              <w:t>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 xml:space="preserve">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 xml:space="preserve">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设计、■关键生产</w:t>
            </w:r>
            <w:r>
              <w:rPr>
                <w:rFonts w:ascii="宋体" w:hAnsi="宋体"/>
                <w:b/>
                <w:color w:val="000000"/>
                <w:sz w:val="20"/>
                <w:szCs w:val="20"/>
              </w:rPr>
              <w:t>/</w:t>
            </w:r>
            <w:r>
              <w:rPr>
                <w:rFonts w:hint="eastAsia" w:ascii="宋体" w:hAnsi="宋体"/>
                <w:b/>
                <w:color w:val="000000"/>
                <w:sz w:val="20"/>
                <w:szCs w:val="20"/>
              </w:rPr>
              <w:t>服务、■检验、</w:t>
            </w:r>
            <w:r>
              <w:rPr>
                <w:rFonts w:hint="eastAsia" w:ascii="宋体" w:hAnsi="宋体"/>
                <w:color w:val="000000"/>
                <w:spacing w:val="-10"/>
                <w:szCs w:val="21"/>
              </w:rPr>
              <w:t>■</w:t>
            </w:r>
            <w:r>
              <w:rPr>
                <w:rFonts w:hint="eastAsia" w:ascii="宋体" w:hAnsi="宋体"/>
                <w:b/>
                <w:color w:val="000000"/>
                <w:sz w:val="20"/>
                <w:szCs w:val="20"/>
              </w:rPr>
              <w:t>采购过程 ■生产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eastAsia="宋体" w:cs="宋体"/>
                <w:color w:val="00000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hint="eastAsia" w:ascii="宋体" w:hAnsi="宋体"/>
          <w:b/>
          <w:color w:val="000000"/>
          <w:spacing w:val="-2"/>
          <w:szCs w:val="21"/>
        </w:rPr>
      </w:pPr>
    </w:p>
    <w:tbl>
      <w:tblPr>
        <w:tblStyle w:val="9"/>
        <w:tblpPr w:leftFromText="180" w:rightFromText="180" w:vertAnchor="text" w:horzAnchor="page" w:tblpX="1146" w:tblpY="418"/>
        <w:tblOverlap w:val="never"/>
        <w:tblW w:w="9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OHSAS 18001:2007</w:t>
            </w:r>
            <w:r>
              <w:rPr>
                <w:rFonts w:hint="eastAsia" w:eastAsia="黑体"/>
                <w:b/>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hAnsi="宋体"/>
                <w:color w:val="000000"/>
                <w:szCs w:val="21"/>
              </w:rPr>
            </w:pPr>
            <w:r>
              <w:rPr>
                <w:rFonts w:hint="eastAsia" w:ascii="宋体" w:hAnsi="宋体"/>
                <w:color w:val="000000"/>
                <w:szCs w:val="21"/>
              </w:rPr>
              <w:t>■是</w:t>
            </w:r>
          </w:p>
        </w:tc>
        <w:tc>
          <w:tcPr>
            <w:tcW w:w="1790" w:type="dxa"/>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hAnsi="宋体"/>
                <w:color w:val="000000"/>
                <w:szCs w:val="21"/>
              </w:rPr>
            </w:pPr>
            <w:r>
              <w:rPr>
                <w:rFonts w:hint="eastAsia" w:ascii="宋体" w:hAnsi="宋体"/>
                <w:color w:val="000000"/>
                <w:szCs w:val="21"/>
              </w:rPr>
              <w:t>■是</w:t>
            </w:r>
          </w:p>
        </w:tc>
        <w:tc>
          <w:tcPr>
            <w:tcW w:w="1790" w:type="dxa"/>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eastAsia="宋体" w:cs="宋体"/>
                <w:color w:val="00000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w:t>
            </w:r>
            <w:r>
              <w:rPr>
                <w:rFonts w:hint="eastAsia" w:ascii="宋体" w:hAnsi="宋体" w:eastAsia="宋体" w:cs="宋体"/>
                <w:color w:val="000000"/>
                <w:spacing w:val="-10"/>
                <w:szCs w:val="21"/>
              </w:rPr>
              <w:t>■</w:t>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pStyle w:val="12"/>
        <w:rPr>
          <w:rFonts w:hint="eastAsia"/>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vAlign w:val="top"/>
          </w:tcPr>
          <w:p>
            <w:pPr>
              <w:spacing w:line="360" w:lineRule="auto"/>
              <w:rPr>
                <w:rFonts w:ascii="宋体"/>
                <w:b/>
                <w:color w:val="000000"/>
                <w:szCs w:val="21"/>
                <w:u w:val="single"/>
              </w:rPr>
            </w:pPr>
            <w:r>
              <w:rPr>
                <w:rFonts w:hint="eastAsia" w:ascii="宋体" w:hAnsi="宋体" w:eastAsia="宋体" w:cs="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eastAsia="宋体" w:cs="Times New Roman"/>
                <w:b/>
                <w:color w:val="000000"/>
                <w:kern w:val="2"/>
                <w:sz w:val="21"/>
                <w:szCs w:val="21"/>
                <w:lang w:val="en-US" w:eastAsia="zh-CN" w:bidi="ar-SA"/>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vAlign w:val="top"/>
          </w:tcPr>
          <w:p>
            <w:pPr>
              <w:spacing w:line="360" w:lineRule="auto"/>
              <w:rPr>
                <w:rFonts w:hint="default" w:ascii="宋体" w:hAnsi="Times New Roman" w:eastAsia="宋体" w:cs="Times New Roman"/>
                <w:b/>
                <w:color w:val="000000"/>
                <w:kern w:val="2"/>
                <w:sz w:val="21"/>
                <w:szCs w:val="21"/>
                <w:lang w:val="en-US" w:eastAsia="zh-CN" w:bidi="ar-SA"/>
              </w:rPr>
            </w:pPr>
            <w:r>
              <w:rPr>
                <w:rFonts w:hint="eastAsia" w:ascii="宋体" w:cs="Times New Roman"/>
                <w:b/>
                <w:color w:val="000000"/>
                <w:kern w:val="2"/>
                <w:sz w:val="21"/>
                <w:szCs w:val="21"/>
                <w:lang w:val="en-US" w:eastAsia="zh-CN" w:bidi="ar-SA"/>
              </w:rPr>
              <w:t>不适用</w:t>
            </w:r>
            <w:bookmarkStart w:id="30" w:name="_GoBack"/>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vAlign w:val="top"/>
          </w:tcPr>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eastAsia="宋体" w:cs="Times New Roman"/>
                <w:b/>
                <w:color w:val="000000"/>
                <w:kern w:val="2"/>
                <w:sz w:val="21"/>
                <w:szCs w:val="21"/>
                <w:lang w:val="en-US" w:eastAsia="zh-CN" w:bidi="ar-SA"/>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29" w:name="二阶段审核日期"/>
            <w:r>
              <w:rPr>
                <w:rFonts w:hint="eastAsia" w:ascii="宋体"/>
                <w:b/>
                <w:color w:val="000000"/>
                <w:szCs w:val="21"/>
              </w:rPr>
              <w:t>2022-04-</w:t>
            </w:r>
            <w:bookmarkEnd w:id="29"/>
            <w:r>
              <w:rPr>
                <w:rFonts w:hint="eastAsia" w:ascii="宋体"/>
                <w:b/>
                <w:color w:val="000000"/>
                <w:szCs w:val="21"/>
                <w:lang w:val="en-US" w:eastAsia="zh-CN"/>
              </w:rPr>
              <w:t>10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vAlign w:val="top"/>
          </w:tcPr>
          <w:p>
            <w:pPr>
              <w:widowControl/>
              <w:jc w:val="left"/>
              <w:rPr>
                <w:rFonts w:ascii="宋体"/>
                <w:b/>
                <w:color w:val="000000"/>
                <w:szCs w:val="21"/>
              </w:rPr>
            </w:pPr>
          </w:p>
        </w:tc>
        <w:tc>
          <w:tcPr>
            <w:tcW w:w="708" w:type="dxa"/>
            <w:vAlign w:val="top"/>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vAlign w:val="top"/>
          </w:tcPr>
          <w:p>
            <w:pPr>
              <w:spacing w:line="280" w:lineRule="exact"/>
              <w:ind w:left="316" w:leftChars="0" w:hanging="316" w:hangingChars="150"/>
              <w:rPr>
                <w:rFonts w:ascii="宋体"/>
                <w:b/>
                <w:color w:val="000000"/>
                <w:szCs w:val="21"/>
              </w:rPr>
            </w:pPr>
            <w:r>
              <w:rPr>
                <w:rFonts w:hint="eastAsia" w:ascii="宋体" w:hAnsi="宋体"/>
                <w:b/>
                <w:color w:val="000000" w:themeColor="text1"/>
                <w:szCs w:val="21"/>
              </w:rPr>
              <w:t>受审核组织</w:t>
            </w:r>
            <w:r>
              <w:rPr>
                <w:rFonts w:ascii="宋体" w:hAnsi="宋体"/>
                <w:b/>
                <w:color w:val="000000" w:themeColor="text1"/>
                <w:szCs w:val="21"/>
              </w:rPr>
              <w:t>(</w:t>
            </w:r>
            <w:r>
              <w:rPr>
                <w:rFonts w:hint="eastAsia" w:ascii="宋体" w:hAnsi="宋体"/>
                <w:b/>
                <w:color w:val="000000" w:themeColor="text1"/>
                <w:spacing w:val="-10"/>
                <w:szCs w:val="21"/>
                <w:lang w:val="de-DE"/>
              </w:rPr>
              <w:t>■</w:t>
            </w:r>
            <w:r>
              <w:rPr>
                <w:rFonts w:ascii="宋体" w:hAnsi="宋体"/>
                <w:b/>
                <w:color w:val="000000" w:themeColor="text1"/>
                <w:szCs w:val="21"/>
              </w:rPr>
              <w:t>QMS/</w:t>
            </w:r>
            <w:r>
              <w:rPr>
                <w:rFonts w:hint="eastAsia" w:ascii="宋体" w:hAnsi="宋体"/>
                <w:b/>
                <w:color w:val="000000" w:themeColor="text1"/>
                <w:spacing w:val="-10"/>
                <w:szCs w:val="21"/>
                <w:lang w:val="de-DE"/>
              </w:rPr>
              <w:t>□5</w:t>
            </w:r>
            <w:r>
              <w:rPr>
                <w:rFonts w:ascii="宋体" w:hAnsi="宋体"/>
                <w:b/>
                <w:color w:val="000000" w:themeColor="text1"/>
                <w:spacing w:val="-10"/>
                <w:szCs w:val="21"/>
                <w:lang w:val="de-DE"/>
              </w:rPr>
              <w:t>0430</w:t>
            </w:r>
            <w:r>
              <w:rPr>
                <w:rFonts w:ascii="宋体" w:hAnsi="宋体"/>
                <w:b/>
                <w:color w:val="000000" w:themeColor="text1"/>
                <w:szCs w:val="21"/>
              </w:rPr>
              <w:t xml:space="preserve"> /</w:t>
            </w:r>
            <w:r>
              <w:rPr>
                <w:rFonts w:hint="eastAsia" w:ascii="宋体" w:hAnsi="宋体"/>
                <w:b/>
                <w:color w:val="000000" w:themeColor="text1"/>
                <w:szCs w:val="21"/>
              </w:rPr>
              <w:t>■</w:t>
            </w:r>
            <w:r>
              <w:rPr>
                <w:rFonts w:ascii="宋体" w:hAnsi="宋体"/>
                <w:b/>
                <w:color w:val="000000" w:themeColor="text1"/>
                <w:szCs w:val="21"/>
              </w:rPr>
              <w:t>EMS/</w:t>
            </w:r>
            <w:r>
              <w:rPr>
                <w:rFonts w:hint="eastAsia" w:ascii="宋体" w:hAnsi="宋体"/>
                <w:b/>
                <w:color w:val="000000" w:themeColor="text1"/>
                <w:szCs w:val="21"/>
              </w:rPr>
              <w:t>■</w:t>
            </w:r>
            <w:r>
              <w:rPr>
                <w:rFonts w:ascii="宋体" w:hAnsi="宋体"/>
                <w:b/>
                <w:color w:val="000000" w:themeColor="text1"/>
                <w:szCs w:val="21"/>
              </w:rPr>
              <w:t>OHSMS</w:t>
            </w:r>
            <w:r>
              <w:rPr>
                <w:rFonts w:hint="eastAsia" w:ascii="宋体" w:hAnsi="宋体"/>
                <w:b/>
                <w:color w:val="000000" w:themeColor="text1"/>
                <w:szCs w:val="21"/>
              </w:rPr>
              <w:t>/</w:t>
            </w:r>
            <w:r>
              <w:rPr>
                <w:rFonts w:hint="eastAsia" w:ascii="宋体" w:hAnsi="宋体"/>
                <w:b/>
                <w:color w:val="000000" w:themeColor="text1"/>
                <w:spacing w:val="-10"/>
                <w:szCs w:val="21"/>
                <w:lang w:val="de-DE"/>
              </w:rPr>
              <w:t>□</w:t>
            </w:r>
            <w:r>
              <w:rPr>
                <w:rFonts w:ascii="宋体" w:hAnsi="宋体"/>
                <w:b/>
                <w:color w:val="000000" w:themeColor="text1"/>
                <w:szCs w:val="21"/>
              </w:rPr>
              <w:t>EnMS)/</w:t>
            </w:r>
            <w:r>
              <w:rPr>
                <w:rFonts w:hint="eastAsia" w:ascii="宋体" w:hAnsi="宋体"/>
                <w:b/>
                <w:color w:val="000000" w:themeColor="text1"/>
                <w:spacing w:val="-10"/>
                <w:szCs w:val="21"/>
                <w:lang w:val="de-DE"/>
              </w:rPr>
              <w:t>□</w:t>
            </w:r>
            <w:r>
              <w:rPr>
                <w:rFonts w:hint="eastAsia" w:ascii="宋体" w:hAnsi="宋体"/>
                <w:b/>
                <w:color w:val="000000" w:themeColor="text1"/>
                <w:szCs w:val="21"/>
              </w:rPr>
              <w:t>FS</w:t>
            </w:r>
            <w:r>
              <w:rPr>
                <w:rFonts w:ascii="宋体" w:hAnsi="宋体"/>
                <w:b/>
                <w:color w:val="000000" w:themeColor="text1"/>
                <w:szCs w:val="21"/>
              </w:rPr>
              <w:t>MS/</w:t>
            </w:r>
            <w:r>
              <w:rPr>
                <w:rFonts w:hint="eastAsia" w:ascii="宋体" w:hAnsi="宋体"/>
                <w:b/>
                <w:color w:val="000000" w:themeColor="text1"/>
                <w:spacing w:val="-10"/>
                <w:szCs w:val="21"/>
                <w:lang w:val="de-DE"/>
              </w:rPr>
              <w:t>□</w:t>
            </w:r>
            <w:r>
              <w:rPr>
                <w:rFonts w:hint="eastAsia" w:ascii="宋体" w:hAnsi="宋体"/>
                <w:b/>
                <w:color w:val="000000" w:themeColor="text1"/>
                <w:spacing w:val="-10"/>
                <w:szCs w:val="21"/>
              </w:rPr>
              <w:t>HACCP</w:t>
            </w:r>
            <w:r>
              <w:rPr>
                <w:rFonts w:ascii="宋体" w:hAnsi="宋体"/>
                <w:b/>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b/>
                <w:color w:val="000000"/>
                <w:spacing w:val="-10"/>
                <w:szCs w:val="21"/>
              </w:rPr>
            </w:pPr>
            <w:r>
              <w:rPr>
                <w:rFonts w:hint="eastAsia" w:ascii="宋体" w:hAnsi="宋体" w:eastAsia="宋体" w:cs="宋体"/>
                <w:b/>
                <w:color w:val="000000" w:themeColor="text1"/>
                <w:spacing w:val="-10"/>
                <w:szCs w:val="21"/>
                <w:lang w:val="de-DE"/>
              </w:rPr>
              <w:t>■</w:t>
            </w:r>
            <w:r>
              <w:rPr>
                <w:rFonts w:hint="eastAsia" w:ascii="宋体" w:hAnsi="宋体"/>
                <w:b/>
                <w:color w:val="000000" w:themeColor="text1"/>
                <w:spacing w:val="-10"/>
                <w:szCs w:val="21"/>
              </w:rPr>
              <w:t>未发现任何问题</w:t>
            </w:r>
            <w:r>
              <w:rPr>
                <w:rFonts w:ascii="宋体" w:hAnsi="宋体"/>
                <w:b/>
                <w:color w:val="000000" w:themeColor="text1"/>
                <w:szCs w:val="21"/>
              </w:rPr>
              <w:t xml:space="preserve">, </w:t>
            </w:r>
            <w:r>
              <w:rPr>
                <w:rFonts w:hint="eastAsia" w:ascii="宋体" w:hAnsi="宋体"/>
                <w:b/>
                <w:color w:val="000000" w:themeColor="text1"/>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highlight w:val="none"/>
              </w:rPr>
            </w:pPr>
            <w:r>
              <w:rPr>
                <w:rFonts w:hint="eastAsia" w:ascii="宋体" w:hAnsi="宋体" w:eastAsia="宋体" w:cs="宋体"/>
                <w:b/>
                <w:color w:val="000000"/>
                <w:spacing w:val="-10"/>
                <w:szCs w:val="21"/>
                <w:highlight w:val="none"/>
                <w:lang w:val="de-DE"/>
              </w:rPr>
              <w:t>■</w:t>
            </w:r>
            <w:r>
              <w:rPr>
                <w:rFonts w:hint="eastAsia" w:ascii="宋体" w:hAnsi="宋体"/>
                <w:b/>
                <w:color w:val="000000"/>
                <w:spacing w:val="-10"/>
                <w:szCs w:val="21"/>
                <w:highlight w:val="none"/>
              </w:rPr>
              <w:t>审核</w:t>
            </w:r>
            <w:r>
              <w:rPr>
                <w:rFonts w:hint="eastAsia" w:ascii="宋体" w:hAnsi="宋体"/>
                <w:b/>
                <w:color w:val="000000"/>
                <w:szCs w:val="21"/>
                <w:highlight w:val="none"/>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rPr>
                <w:rFonts w:ascii="宋体" w:hAnsi="宋体"/>
                <w:b/>
                <w:color w:val="000000"/>
                <w:szCs w:val="21"/>
              </w:rPr>
            </w:pPr>
            <w:r>
              <w:rPr>
                <w:rFonts w:hint="eastAsia"/>
                <w:sz w:val="20"/>
                <w:lang w:eastAsia="zh-CN"/>
              </w:rPr>
              <w:t>电线、电缆、发电机、变压器的销售</w:t>
            </w:r>
          </w:p>
        </w:tc>
        <w:tc>
          <w:tcPr>
            <w:tcW w:w="1541" w:type="dxa"/>
            <w:vAlign w:val="center"/>
          </w:tcPr>
          <w:p>
            <w:pPr>
              <w:spacing w:line="400" w:lineRule="exact"/>
              <w:rPr>
                <w:rFonts w:ascii="宋体" w:hAnsi="宋体"/>
                <w:b/>
                <w:color w:val="000000"/>
                <w:szCs w:val="21"/>
              </w:rPr>
            </w:pPr>
            <w:r>
              <w:rPr>
                <w:sz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b/>
                <w:color w:val="000000"/>
                <w:szCs w:val="21"/>
              </w:rPr>
            </w:pPr>
            <w:r>
              <w:rPr>
                <w:rFonts w:hint="eastAsia"/>
                <w:sz w:val="20"/>
                <w:lang w:eastAsia="zh-CN"/>
              </w:rPr>
              <w:t>电线、电缆、发电机、变压器的销售</w:t>
            </w:r>
            <w:r>
              <w:rPr>
                <w:sz w:val="20"/>
              </w:rPr>
              <w:t>所涉及场所的相关环境管理活动</w:t>
            </w:r>
          </w:p>
        </w:tc>
        <w:tc>
          <w:tcPr>
            <w:tcW w:w="1541" w:type="dxa"/>
            <w:vAlign w:val="center"/>
          </w:tcPr>
          <w:p>
            <w:pPr>
              <w:spacing w:line="400" w:lineRule="exact"/>
              <w:rPr>
                <w:rFonts w:ascii="宋体" w:hAnsi="宋体"/>
                <w:b/>
                <w:color w:val="000000"/>
                <w:szCs w:val="21"/>
              </w:rPr>
            </w:pPr>
            <w:r>
              <w:rPr>
                <w:sz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rPr>
                <w:rFonts w:hint="eastAsia"/>
                <w:sz w:val="20"/>
                <w:lang w:eastAsia="zh-CN"/>
              </w:rPr>
              <w:t>电线、电缆、发电机、变压器的销售</w:t>
            </w:r>
            <w:r>
              <w:rPr>
                <w:sz w:val="20"/>
              </w:rPr>
              <w:t>所涉及场所的相关职业健康安全管理活动</w:t>
            </w:r>
          </w:p>
        </w:tc>
        <w:tc>
          <w:tcPr>
            <w:tcW w:w="1541" w:type="dxa"/>
            <w:vAlign w:val="center"/>
          </w:tcPr>
          <w:p>
            <w:pPr>
              <w:spacing w:line="400" w:lineRule="exact"/>
              <w:rPr>
                <w:rFonts w:ascii="宋体" w:hAnsi="宋体"/>
                <w:b/>
                <w:color w:val="000000"/>
                <w:szCs w:val="21"/>
              </w:rPr>
            </w:pPr>
            <w:r>
              <w:rPr>
                <w:sz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lang w:val="en-US" w:eastAsia="zh-CN"/>
        </w:rPr>
        <w:t xml:space="preserve"> </w:t>
      </w:r>
      <w:r>
        <w:rPr>
          <w:rFonts w:hint="eastAsia" w:ascii="宋体" w:hAnsi="宋体"/>
          <w:b/>
          <w:bCs/>
          <w:color w:val="000000"/>
          <w:szCs w:val="21"/>
        </w:rPr>
        <w:t>十一、审核组签字</w:t>
      </w:r>
    </w:p>
    <w:p>
      <w:pPr>
        <w:spacing w:line="400" w:lineRule="exact"/>
        <w:ind w:firstLine="964" w:firstLineChars="400"/>
        <w:rPr>
          <w:rFonts w:ascii="宋体"/>
          <w:b/>
          <w:color w:val="000000"/>
          <w:szCs w:val="21"/>
        </w:rPr>
      </w:pPr>
      <w:r>
        <w:rPr>
          <w:rFonts w:hint="eastAsia" w:ascii="宋体" w:hAnsi="宋体"/>
          <w:b/>
          <w:kern w:val="0"/>
          <w:sz w:val="24"/>
        </w:rPr>
        <w:drawing>
          <wp:anchor distT="0" distB="0" distL="114300" distR="114300" simplePos="0" relativeHeight="251662336" behindDoc="0" locked="0" layoutInCell="1" allowOverlap="1">
            <wp:simplePos x="0" y="0"/>
            <wp:positionH relativeFrom="column">
              <wp:posOffset>3892550</wp:posOffset>
            </wp:positionH>
            <wp:positionV relativeFrom="paragraph">
              <wp:posOffset>9525</wp:posOffset>
            </wp:positionV>
            <wp:extent cx="621665" cy="313690"/>
            <wp:effectExtent l="0" t="0" r="635" b="3810"/>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6"/>
                    <a:stretch>
                      <a:fillRect/>
                    </a:stretch>
                  </pic:blipFill>
                  <pic:spPr>
                    <a:xfrm>
                      <a:off x="0" y="0"/>
                      <a:ext cx="621665" cy="313690"/>
                    </a:xfrm>
                    <a:prstGeom prst="rect">
                      <a:avLst/>
                    </a:prstGeom>
                    <a:noFill/>
                    <a:ln>
                      <a:noFill/>
                    </a:ln>
                  </pic:spPr>
                </pic:pic>
              </a:graphicData>
            </a:graphic>
          </wp:anchor>
        </w:drawing>
      </w:r>
      <w:r>
        <w:rPr>
          <w:rFonts w:hint="eastAsia" w:ascii="宋体" w:hAnsi="宋体"/>
          <w:b/>
          <w:kern w:val="0"/>
          <w:sz w:val="24"/>
        </w:rPr>
        <w:drawing>
          <wp:anchor distT="0" distB="0" distL="114300" distR="114300" simplePos="0" relativeHeight="251661312" behindDoc="0" locked="0" layoutInCell="1" allowOverlap="1">
            <wp:simplePos x="0" y="0"/>
            <wp:positionH relativeFrom="column">
              <wp:posOffset>1847850</wp:posOffset>
            </wp:positionH>
            <wp:positionV relativeFrom="paragraph">
              <wp:posOffset>3175</wp:posOffset>
            </wp:positionV>
            <wp:extent cx="621665" cy="313690"/>
            <wp:effectExtent l="0" t="0" r="635" b="3810"/>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a:stretch>
                      <a:fillRect/>
                    </a:stretch>
                  </pic:blipFill>
                  <pic:spPr>
                    <a:xfrm>
                      <a:off x="0" y="0"/>
                      <a:ext cx="621665" cy="31369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w:t>
      </w:r>
      <w:r>
        <w:rPr>
          <w:rFonts w:hint="eastAsia" w:ascii="宋体" w:hAnsi="宋体"/>
          <w:b/>
          <w:color w:val="000000"/>
          <w:szCs w:val="21"/>
          <w:lang w:val="en-US" w:eastAsia="zh-CN"/>
        </w:rPr>
        <w:t xml:space="preserve"> </w:t>
      </w:r>
      <w:r>
        <w:rPr>
          <w:rFonts w:ascii="宋体" w:hAnsi="宋体"/>
          <w:b/>
          <w:color w:val="000000"/>
          <w:szCs w:val="21"/>
        </w:rPr>
        <w:t xml:space="preserve">:   </w:t>
      </w:r>
    </w:p>
    <w:p>
      <w:pPr>
        <w:ind w:firstLine="843" w:firstLineChars="400"/>
        <w:rPr>
          <w:rFonts w:hint="eastAsia" w:ascii="宋体" w:hAnsi="宋体"/>
          <w:b/>
          <w:color w:val="000000"/>
          <w:szCs w:val="21"/>
          <w:lang w:eastAsia="zh-CN"/>
        </w:rPr>
      </w:pPr>
    </w:p>
    <w:p>
      <w:pPr>
        <w:ind w:firstLine="843" w:firstLineChars="400"/>
        <w:rPr>
          <w:rFonts w:ascii="宋体"/>
          <w:b/>
          <w:color w:val="000000"/>
          <w:szCs w:val="21"/>
        </w:rPr>
      </w:pPr>
      <w:r>
        <w:rPr>
          <w:rFonts w:hint="eastAsia" w:ascii="宋体" w:hAnsi="宋体"/>
          <w:b/>
          <w:color w:val="000000"/>
          <w:szCs w:val="21"/>
          <w:lang w:eastAsia="zh-CN"/>
        </w:rPr>
        <w:t>日期：2022年4月9日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ascii="宋体" w:hAnsi="宋体" w:cs="宋体"/>
          <w:color w:val="000000"/>
          <w:kern w:val="0"/>
          <w:szCs w:val="21"/>
        </w:rPr>
        <w:t>重庆佳雨龙润实业有限公司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ascii="宋体" w:hAnsi="宋体"/>
                <w:b/>
                <w:kern w:val="0"/>
                <w:sz w:val="24"/>
              </w:rPr>
              <w:drawing>
                <wp:anchor distT="0" distB="0" distL="114300" distR="114300" simplePos="0" relativeHeight="251664384" behindDoc="0" locked="0" layoutInCell="1" allowOverlap="1">
                  <wp:simplePos x="0" y="0"/>
                  <wp:positionH relativeFrom="column">
                    <wp:posOffset>819150</wp:posOffset>
                  </wp:positionH>
                  <wp:positionV relativeFrom="paragraph">
                    <wp:posOffset>50165</wp:posOffset>
                  </wp:positionV>
                  <wp:extent cx="621665" cy="313690"/>
                  <wp:effectExtent l="0" t="0" r="635" b="3810"/>
                  <wp:wrapNone/>
                  <wp:docPr id="7"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图片1"/>
                          <pic:cNvPicPr>
                            <a:picLocks noChangeAspect="1"/>
                          </pic:cNvPicPr>
                        </pic:nvPicPr>
                        <pic:blipFill>
                          <a:blip r:embed="rId6"/>
                          <a:stretch>
                            <a:fillRect/>
                          </a:stretch>
                        </pic:blipFill>
                        <pic:spPr>
                          <a:xfrm>
                            <a:off x="0" y="0"/>
                            <a:ext cx="621665" cy="31369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b/>
                <w:color w:val="000000"/>
                <w:szCs w:val="21"/>
                <w:lang w:eastAsia="zh-CN"/>
              </w:rPr>
              <w:t>2022年4月9日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b/>
                <w:color w:val="000000"/>
                <w:szCs w:val="21"/>
                <w:lang w:eastAsia="zh-CN"/>
              </w:rPr>
              <w:t>2022年4月9日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ascii="宋体" w:hAnsi="宋体" w:eastAsia="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b/>
                <w:kern w:val="0"/>
                <w:sz w:val="24"/>
              </w:rPr>
              <w:drawing>
                <wp:anchor distT="0" distB="0" distL="114300" distR="114300" simplePos="0" relativeHeight="251663360" behindDoc="0" locked="0" layoutInCell="1" allowOverlap="1">
                  <wp:simplePos x="0" y="0"/>
                  <wp:positionH relativeFrom="column">
                    <wp:posOffset>635000</wp:posOffset>
                  </wp:positionH>
                  <wp:positionV relativeFrom="paragraph">
                    <wp:posOffset>62865</wp:posOffset>
                  </wp:positionV>
                  <wp:extent cx="621665" cy="313690"/>
                  <wp:effectExtent l="0" t="0" r="635" b="3810"/>
                  <wp:wrapNone/>
                  <wp:docPr id="6"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图片1"/>
                          <pic:cNvPicPr>
                            <a:picLocks noChangeAspect="1"/>
                          </pic:cNvPicPr>
                        </pic:nvPicPr>
                        <pic:blipFill>
                          <a:blip r:embed="rId6"/>
                          <a:stretch>
                            <a:fillRect/>
                          </a:stretch>
                        </pic:blipFill>
                        <pic:spPr>
                          <a:xfrm>
                            <a:off x="0" y="0"/>
                            <a:ext cx="621665" cy="313690"/>
                          </a:xfrm>
                          <a:prstGeom prst="rect">
                            <a:avLst/>
                          </a:prstGeom>
                          <a:noFill/>
                          <a:ln>
                            <a:noFill/>
                          </a:ln>
                        </pic:spPr>
                      </pic:pic>
                    </a:graphicData>
                  </a:graphic>
                </wp:anchor>
              </w:drawing>
            </w:r>
          </w:p>
          <w:p>
            <w:pPr>
              <w:spacing w:line="280" w:lineRule="exact"/>
              <w:rPr>
                <w:rFonts w:hint="eastAsia" w:eastAsia="宋体"/>
                <w:b/>
                <w:color w:val="000000"/>
                <w:szCs w:val="21"/>
                <w:lang w:eastAsia="zh-CN"/>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eastAsia="zh-CN"/>
              </w:rPr>
              <w:t>2022年4月9日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8977EB1"/>
    <w:rsid w:val="08E076E5"/>
    <w:rsid w:val="11BA5848"/>
    <w:rsid w:val="3D686B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表格文字"/>
    <w:basedOn w:val="1"/>
    <w:qFormat/>
    <w:uiPriority w:val="0"/>
    <w:pPr>
      <w:spacing w:before="25" w:after="25"/>
    </w:pPr>
    <w:rPr>
      <w:bCs/>
      <w:spacing w:val="10"/>
    </w:rPr>
  </w:style>
  <w:style w:type="character" w:customStyle="1" w:styleId="13">
    <w:name w:val="批注框文本 Char"/>
    <w:link w:val="5"/>
    <w:semiHidden/>
    <w:qFormat/>
    <w:locked/>
    <w:uiPriority w:val="99"/>
    <w:rPr>
      <w:rFonts w:ascii="Times New Roman" w:hAnsi="Times New Roman" w:eastAsia="宋体" w:cs="Times New Roman"/>
      <w:sz w:val="18"/>
      <w:szCs w:val="18"/>
    </w:rPr>
  </w:style>
  <w:style w:type="character" w:customStyle="1" w:styleId="14">
    <w:name w:val="页脚 Char"/>
    <w:link w:val="6"/>
    <w:qFormat/>
    <w:locked/>
    <w:uiPriority w:val="99"/>
    <w:rPr>
      <w:rFonts w:ascii="Times New Roman" w:hAnsi="Times New Roman" w:eastAsia="宋体" w:cs="Times New Roman"/>
      <w:sz w:val="18"/>
      <w:szCs w:val="18"/>
    </w:rPr>
  </w:style>
  <w:style w:type="character" w:customStyle="1" w:styleId="15">
    <w:name w:val="页眉 Char"/>
    <w:link w:val="7"/>
    <w:qFormat/>
    <w:locked/>
    <w:uiPriority w:val="99"/>
    <w:rPr>
      <w:rFonts w:ascii="Calibri" w:hAnsi="Calibri" w:eastAsia="宋体" w:cs="Times New Roman"/>
      <w:sz w:val="18"/>
      <w:szCs w:val="18"/>
    </w:rPr>
  </w:style>
  <w:style w:type="character" w:customStyle="1" w:styleId="16">
    <w:name w:val="副标题 Char"/>
    <w:link w:val="8"/>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2022-04-10T01:51:26Z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2052-11.1.0.11636</vt:lpwstr>
  </property>
</Properties>
</file>