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重庆市江津区珞璜镇机电路7号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重庆市江津区珞璜镇机电路7号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18996034954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1641307915@qq.com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/>
                <w:sz w:val="21"/>
                <w:szCs w:val="21"/>
              </w:rPr>
              <w:t>绍春洪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0144-2021-QE-2022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Q：蒸压加气混凝土砌块、蒸压加气混凝土板材的生产（法规强制要求范围除外）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E：蒸压加气混凝土砌块、蒸压加气混凝土板材的生产（法规强制要求范围除外）及其场所涉及的相关环境管理活动。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Q：16.02.01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2022年04月08日 上午至2022年04月08日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26035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2022年4月4日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2022年4月4日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09"/>
        <w:gridCol w:w="881"/>
        <w:gridCol w:w="618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2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（午餐12：00-12：30）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(含管代）</w:t>
            </w:r>
          </w:p>
        </w:tc>
        <w:tc>
          <w:tcPr>
            <w:tcW w:w="618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bookmarkStart w:id="34" w:name="_GoBack"/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范围的确认，资质的确认，法律法规执行情况，重大质量事故，及顾客投诉和质量监督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抽查情况，环境投诉，认证证书及标识使用情况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上次不符合项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验证。</w:t>
            </w:r>
            <w:bookmarkEnd w:id="34"/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（含财务部）</w:t>
            </w:r>
          </w:p>
        </w:tc>
        <w:tc>
          <w:tcPr>
            <w:tcW w:w="6187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5.3岗位/职责 /权限；6.2质量目标及其实现的策划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；9.1.3分析和评价；9.2内部审核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EMS运行控制相关财务支出证据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（午餐12：00-12：30）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87" w:type="dxa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QMS： 5.3岗位/职责 /权限；6.2质量目标及其实现的策划； 8.1运行策划和控制；8.3设计开发控制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；8.5.1生产和服务提供的控制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EMS： 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；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12：30-16：00</w:t>
            </w:r>
          </w:p>
        </w:tc>
        <w:tc>
          <w:tcPr>
            <w:tcW w:w="881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6187" w:type="dxa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8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B422E"/>
    <w:rsid w:val="3C4020DF"/>
    <w:rsid w:val="3FDF0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2022-04-08T08:08:55Z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