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0137-2021-EO-2022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四川明鑫电器电瓷有限公司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四川明鑫电器电瓷有限公司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大竹县东柳乡东柳村二组</w:t>
            </w:r>
            <w:bookmarkEnd w:id="6"/>
          </w:p>
        </w:tc>
        <w:tc>
          <w:tcPr>
            <w:tcW w:w="1242" w:type="dxa"/>
            <w:vMerge w:val="restart"/>
            <w:vAlign w:val="center"/>
          </w:tcPr>
          <w:p>
            <w:r>
              <w:rPr>
                <w:rFonts w:hint="eastAsia"/>
              </w:rPr>
              <w:t>邮编</w:t>
            </w:r>
          </w:p>
        </w:tc>
        <w:tc>
          <w:tcPr>
            <w:tcW w:w="1771" w:type="dxa"/>
          </w:tcPr>
          <w:p>
            <w:bookmarkStart w:id="7" w:name="注册邮编"/>
            <w:r>
              <w:t>635107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四川省大竹县工业园区成功大道二段五号</w:t>
            </w:r>
            <w:bookmarkEnd w:id="8"/>
          </w:p>
        </w:tc>
        <w:tc>
          <w:tcPr>
            <w:tcW w:w="1242" w:type="dxa"/>
            <w:vMerge w:val="continue"/>
            <w:vAlign w:val="center"/>
          </w:tcPr>
          <w:p/>
        </w:tc>
        <w:tc>
          <w:tcPr>
            <w:tcW w:w="1771" w:type="dxa"/>
          </w:tcPr>
          <w:p>
            <w:bookmarkStart w:id="9" w:name="办公邮编"/>
            <w:r>
              <w:t>635107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r>
              <w:rPr>
                <w:rFonts w:hint="eastAsia"/>
                <w:lang w:val="en-US" w:eastAsia="zh-CN"/>
              </w:rPr>
              <w:t>薛伟</w:t>
            </w:r>
          </w:p>
        </w:tc>
        <w:tc>
          <w:tcPr>
            <w:tcW w:w="1313" w:type="dxa"/>
            <w:vAlign w:val="center"/>
          </w:tcPr>
          <w:p>
            <w:r>
              <w:rPr>
                <w:rFonts w:hint="eastAsia"/>
              </w:rPr>
              <w:t>电话.</w:t>
            </w:r>
          </w:p>
        </w:tc>
        <w:tc>
          <w:tcPr>
            <w:tcW w:w="2180" w:type="dxa"/>
            <w:vAlign w:val="center"/>
          </w:tcPr>
          <w:p>
            <w:r>
              <w:rPr>
                <w:rFonts w:hint="eastAsia"/>
                <w:sz w:val="21"/>
                <w:szCs w:val="21"/>
              </w:rPr>
              <w:t>13281758126</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谢欣</w:t>
            </w:r>
            <w:bookmarkEnd w:id="11"/>
          </w:p>
        </w:tc>
        <w:tc>
          <w:tcPr>
            <w:tcW w:w="1313" w:type="dxa"/>
            <w:vAlign w:val="center"/>
          </w:tcPr>
          <w:p>
            <w:r>
              <w:rPr>
                <w:rFonts w:hint="eastAsia"/>
              </w:rPr>
              <w:t>管理者代表</w:t>
            </w:r>
          </w:p>
        </w:tc>
        <w:tc>
          <w:tcPr>
            <w:tcW w:w="2180" w:type="dxa"/>
          </w:tcPr>
          <w:p>
            <w:r>
              <w:rPr>
                <w:rFonts w:hint="eastAsia"/>
              </w:rPr>
              <w:t>罗兴房</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rPr>
                <w:rFonts w:hint="eastAsia"/>
                <w:szCs w:val="21"/>
                <w:highlight w:val="none"/>
              </w:rPr>
            </w:pPr>
            <w:r>
              <w:rPr>
                <w:rFonts w:hint="eastAsia"/>
                <w:szCs w:val="21"/>
                <w:highlight w:val="none"/>
                <w:lang w:eastAsia="zh-CN"/>
              </w:rPr>
              <w:t>顾客洽谈</w:t>
            </w:r>
            <w:r>
              <w:rPr>
                <w:rFonts w:hint="eastAsia"/>
                <w:szCs w:val="21"/>
                <w:highlight w:val="none"/>
              </w:rPr>
              <w:t>→签订合同→产品销售</w:t>
            </w:r>
            <w:r>
              <w:rPr>
                <w:rFonts w:hint="eastAsia"/>
                <w:color w:val="auto"/>
                <w:szCs w:val="21"/>
                <w:highlight w:val="none"/>
              </w:rPr>
              <w:t>→客户验收→售</w:t>
            </w:r>
            <w:r>
              <w:rPr>
                <w:rFonts w:hint="eastAsia"/>
                <w:szCs w:val="21"/>
                <w:highlight w:val="none"/>
              </w:rPr>
              <w:t>后服务</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2022年04月07日 上午至2022年04月07日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四川省大竹县工业园区成功大道二段五号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E：高低压绝缘子、电力金具铁附件的销售所涉及场所的相关环境管理活动</w:t>
            </w:r>
          </w:p>
          <w:p>
            <w:r>
              <w:t>O：高低压绝缘子、电力金具铁附件的销售所涉及场所的相关职业健康安全管理活动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E：29.12.00</w:t>
            </w:r>
          </w:p>
          <w:p>
            <w:r>
              <w:t>O：29.12.00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Arial"/>
                <w:color w:val="000000" w:themeColor="text1"/>
              </w:rPr>
              <w:t>2020</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lang w:val="en-US"/>
              </w:rPr>
            </w:pPr>
            <w:r>
              <w:rPr>
                <w:rFonts w:hint="eastAsia" w:ascii="宋体" w:hAnsi="宋体" w:eastAsia="宋体" w:cs="宋体"/>
                <w:color w:val="000000" w:themeColor="text1"/>
                <w:lang w:eastAsia="zh-CN"/>
              </w:rPr>
              <w:t>2021年03月21日</w:t>
            </w:r>
            <w:r>
              <w:rPr>
                <w:rFonts w:hint="eastAsia" w:ascii="宋体" w:hAnsi="宋体" w:eastAsia="宋体" w:cs="宋体"/>
                <w:color w:val="000000" w:themeColor="text1"/>
                <w:lang w:val="en-US" w:eastAsia="zh-CN"/>
              </w:rPr>
              <w:t>下午至2021年03月22日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eastAsia="宋体"/>
              </w:rPr>
              <w:t>有效至</w:t>
            </w:r>
            <w:r>
              <w:rPr>
                <w:rFonts w:hint="eastAsia" w:eastAsia="宋体"/>
                <w:lang w:val="en-US" w:eastAsia="zh-CN"/>
              </w:rPr>
              <w:t>2024</w:t>
            </w:r>
            <w:r>
              <w:rPr>
                <w:rFonts w:hint="eastAsia" w:eastAsia="宋体"/>
              </w:rPr>
              <w:t>年</w:t>
            </w:r>
            <w:r>
              <w:rPr>
                <w:rFonts w:hint="eastAsia" w:eastAsia="宋体"/>
                <w:lang w:val="en-US" w:eastAsia="zh-CN"/>
              </w:rPr>
              <w:t>3</w:t>
            </w:r>
            <w:r>
              <w:rPr>
                <w:rFonts w:hint="eastAsia" w:eastAsia="宋体"/>
              </w:rPr>
              <w:t>月</w:t>
            </w:r>
            <w:r>
              <w:rPr>
                <w:rFonts w:hint="eastAsia" w:eastAsia="宋体"/>
                <w:lang w:val="en-US" w:eastAsia="zh-CN"/>
              </w:rPr>
              <w:t>25</w:t>
            </w:r>
            <w:r>
              <w:rPr>
                <w:rFonts w:hint="eastAsia" w:eastAsia="宋体"/>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06"/>
        <w:gridCol w:w="10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06" w:type="dxa"/>
            <w:shd w:val="clear" w:color="auto" w:fill="F3F3F3"/>
            <w:tcMar>
              <w:left w:w="57" w:type="dxa"/>
              <w:right w:w="57" w:type="dxa"/>
            </w:tcMar>
          </w:tcPr>
          <w:p>
            <w:r>
              <w:rPr>
                <w:rFonts w:hint="eastAsia"/>
              </w:rPr>
              <w:t>审核范围（产品和过程）</w:t>
            </w:r>
          </w:p>
          <w:p/>
          <w:p/>
        </w:tc>
        <w:tc>
          <w:tcPr>
            <w:tcW w:w="106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四川明鑫电器电瓷有限公司</w:t>
            </w:r>
            <w:r>
              <w:rPr>
                <w:rFonts w:hint="eastAsia"/>
                <w:sz w:val="21"/>
                <w:szCs w:val="21"/>
                <w:lang w:val="en-US" w:eastAsia="zh-CN"/>
              </w:rPr>
              <w:t>/</w:t>
            </w:r>
            <w:r>
              <w:rPr>
                <w:rFonts w:asciiTheme="minorEastAsia" w:hAnsiTheme="minorEastAsia" w:eastAsiaTheme="minorEastAsia"/>
                <w:sz w:val="20"/>
              </w:rPr>
              <w:t>大竹县东柳乡东柳村二组</w:t>
            </w:r>
          </w:p>
        </w:tc>
        <w:tc>
          <w:tcPr>
            <w:tcW w:w="2267" w:type="dxa"/>
          </w:tcPr>
          <w:p>
            <w:pPr>
              <w:rPr>
                <w:lang w:val="de-DE" w:eastAsia="ja-JP"/>
              </w:rPr>
            </w:pPr>
            <w:r>
              <w:rPr>
                <w:rFonts w:asciiTheme="minorEastAsia" w:hAnsiTheme="minorEastAsia" w:eastAsiaTheme="minorEastAsia"/>
                <w:sz w:val="20"/>
              </w:rPr>
              <w:t>四川省大竹县工业园区成功大道二段五号</w:t>
            </w:r>
          </w:p>
        </w:tc>
        <w:tc>
          <w:tcPr>
            <w:tcW w:w="571" w:type="dxa"/>
            <w:vAlign w:val="center"/>
          </w:tcPr>
          <w:p>
            <w:pPr>
              <w:rPr>
                <w:rFonts w:hint="default" w:eastAsia="宋体"/>
                <w:lang w:val="en-US" w:eastAsia="zh-CN"/>
              </w:rPr>
            </w:pPr>
            <w:r>
              <w:rPr>
                <w:rFonts w:hint="eastAsia"/>
                <w:lang w:val="en-US" w:eastAsia="zh-CN"/>
              </w:rPr>
              <w:t>45</w:t>
            </w:r>
          </w:p>
        </w:tc>
        <w:tc>
          <w:tcPr>
            <w:tcW w:w="2406" w:type="dxa"/>
            <w:vAlign w:val="center"/>
          </w:tcPr>
          <w:p>
            <w:pPr>
              <w:rPr>
                <w:lang w:eastAsia="ja-JP"/>
              </w:rPr>
            </w:pPr>
            <w:r>
              <w:rPr>
                <w:sz w:val="20"/>
              </w:rPr>
              <w:t>高低压绝缘子、电力金具铁附件的销售所涉及场所的相关环境管理活动</w:t>
            </w:r>
          </w:p>
        </w:tc>
        <w:tc>
          <w:tcPr>
            <w:tcW w:w="1066" w:type="dxa"/>
            <w:vAlign w:val="top"/>
          </w:tcPr>
          <w:p>
            <w:pPr>
              <w:spacing w:before="40" w:after="40"/>
              <w:rPr>
                <w:rFonts w:hint="eastAsia" w:ascii="宋体" w:hAnsi="宋体"/>
                <w:b w:val="0"/>
                <w:bCs/>
                <w:szCs w:val="21"/>
              </w:rPr>
            </w:pPr>
            <w:r>
              <w:rPr>
                <w:rFonts w:hint="eastAsia" w:ascii="宋体" w:hAnsi="宋体"/>
                <w:b w:val="0"/>
                <w:bCs/>
                <w:szCs w:val="21"/>
              </w:rPr>
              <w:t>GB/T24001-2016</w:t>
            </w:r>
          </w:p>
          <w:p>
            <w:pPr>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四川明鑫电器电瓷有限公司</w:t>
            </w:r>
            <w:r>
              <w:rPr>
                <w:rFonts w:hint="eastAsia"/>
                <w:sz w:val="21"/>
                <w:szCs w:val="21"/>
                <w:lang w:val="en-US" w:eastAsia="zh-CN"/>
              </w:rPr>
              <w:t>/</w:t>
            </w:r>
            <w:r>
              <w:rPr>
                <w:rFonts w:asciiTheme="minorEastAsia" w:hAnsiTheme="minorEastAsia" w:eastAsiaTheme="minorEastAsia"/>
                <w:sz w:val="20"/>
              </w:rPr>
              <w:t>大竹县东柳乡东柳村二组</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四川省大竹县工业园区成功大道二段五号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45</w:t>
            </w:r>
          </w:p>
        </w:tc>
        <w:tc>
          <w:tcPr>
            <w:tcW w:w="2406" w:type="dxa"/>
            <w:vAlign w:val="center"/>
          </w:tcPr>
          <w:p>
            <w:pPr>
              <w:rPr>
                <w:lang w:eastAsia="ja-JP"/>
              </w:rPr>
            </w:pPr>
            <w:r>
              <w:rPr>
                <w:sz w:val="20"/>
              </w:rPr>
              <w:t>高低压绝缘子、电力金具铁附件的销售所涉及场所的相关职业健康安全管理活动</w:t>
            </w:r>
          </w:p>
        </w:tc>
        <w:tc>
          <w:tcPr>
            <w:tcW w:w="1066" w:type="dxa"/>
            <w:vAlign w:val="center"/>
          </w:tcPr>
          <w:p>
            <w:pPr>
              <w:spacing w:before="40" w:after="40"/>
              <w:rPr>
                <w:lang w:eastAsia="ja-JP"/>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06" w:type="dxa"/>
            <w:vAlign w:val="center"/>
          </w:tcPr>
          <w:p>
            <w:pPr>
              <w:rPr>
                <w:lang w:eastAsia="ja-JP"/>
              </w:rPr>
            </w:pPr>
          </w:p>
        </w:tc>
        <w:tc>
          <w:tcPr>
            <w:tcW w:w="10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06" w:type="dxa"/>
            <w:vAlign w:val="center"/>
          </w:tcPr>
          <w:p>
            <w:pPr>
              <w:rPr>
                <w:lang w:eastAsia="ja-JP"/>
              </w:rPr>
            </w:pPr>
          </w:p>
        </w:tc>
        <w:tc>
          <w:tcPr>
            <w:tcW w:w="10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06" w:type="dxa"/>
            <w:vAlign w:val="center"/>
          </w:tcPr>
          <w:p>
            <w:pPr>
              <w:rPr>
                <w:lang w:eastAsia="ja-JP"/>
              </w:rPr>
            </w:pPr>
          </w:p>
        </w:tc>
        <w:tc>
          <w:tcPr>
            <w:tcW w:w="106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2019-N1EMS-1242345</w:t>
            </w:r>
          </w:p>
        </w:tc>
        <w:tc>
          <w:tcPr>
            <w:tcW w:w="2179" w:type="dxa"/>
            <w:vAlign w:val="center"/>
          </w:tcPr>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原管理者代表：陈思恩，变更为：罗兴房。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rFonts w:hint="eastAsia" w:eastAsia="宋体"/>
              </w:rPr>
            </w:pPr>
            <w:r>
              <w:rPr>
                <w:rFonts w:hint="eastAsia" w:eastAsia="宋体"/>
              </w:rPr>
              <w:t>体系员工人数较大变更</w:t>
            </w:r>
          </w:p>
        </w:tc>
        <w:tc>
          <w:tcPr>
            <w:tcW w:w="7412" w:type="dxa"/>
          </w:tcPr>
          <w:p>
            <w:pPr>
              <w:rPr>
                <w:rFonts w:hint="eastAsia" w:eastAsia="宋体"/>
                <w:lang w:val="en-US" w:eastAsia="zh-CN"/>
              </w:rPr>
            </w:pPr>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b w:val="0"/>
                <w:bCs w:val="0"/>
                <w:highlight w:val="none"/>
              </w:rPr>
            </w:pPr>
            <w:r>
              <w:rPr>
                <w:rFonts w:hint="eastAsia"/>
                <w:b w:val="0"/>
                <w:bCs w:val="0"/>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 w:val="0"/>
                <w:bCs w:val="0"/>
                <w:highlight w:val="none"/>
                <w:lang w:val="en-US" w:eastAsia="zh-CN"/>
              </w:rPr>
            </w:pPr>
            <w:r>
              <w:rPr>
                <w:rFonts w:hint="eastAsia"/>
                <w:b w:val="0"/>
                <w:bCs w:val="0"/>
                <w:highlight w:val="none"/>
              </w:rPr>
              <w:t>上次不符合</w:t>
            </w:r>
            <w:r>
              <w:rPr>
                <w:rFonts w:hint="eastAsia"/>
                <w:b w:val="0"/>
                <w:bCs w:val="0"/>
                <w:highlight w:val="none"/>
                <w:lang w:val="en-US" w:eastAsia="zh-CN"/>
              </w:rPr>
              <w:t>项发生在</w:t>
            </w:r>
            <w:r>
              <w:rPr>
                <w:rFonts w:hint="eastAsia"/>
                <w:b w:val="0"/>
                <w:bCs w:val="0"/>
                <w:color w:val="000000" w:themeColor="text1"/>
                <w:highlight w:val="none"/>
                <w:lang w:val="en-US" w:eastAsia="zh-CN"/>
              </w:rPr>
              <w:t>供销部</w:t>
            </w:r>
            <w:r>
              <w:rPr>
                <w:rFonts w:hint="eastAsia"/>
                <w:b w:val="0"/>
                <w:bCs w:val="0"/>
                <w:color w:val="000000" w:themeColor="text1"/>
                <w:highlight w:val="none"/>
              </w:rPr>
              <w:t>部门</w:t>
            </w:r>
            <w:r>
              <w:rPr>
                <w:rFonts w:hint="eastAsia"/>
                <w:b w:val="0"/>
                <w:bCs w:val="0"/>
                <w:color w:val="000000" w:themeColor="text1"/>
                <w:highlight w:val="none"/>
                <w:lang w:val="en-US" w:eastAsia="zh-CN"/>
              </w:rPr>
              <w:t>E6.1.2 a条款，</w:t>
            </w:r>
            <w:r>
              <w:rPr>
                <w:rFonts w:hint="eastAsia" w:ascii="宋体" w:hAnsi="宋体" w:cs="宋体"/>
                <w:b w:val="0"/>
                <w:bCs w:val="0"/>
                <w:sz w:val="21"/>
                <w:szCs w:val="21"/>
                <w:highlight w:val="none"/>
              </w:rPr>
              <w:t>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eastAsia="宋体"/>
              </w:rPr>
            </w:pPr>
            <w:r>
              <w:rPr>
                <w:rFonts w:hint="eastAsia" w:eastAsia="宋体"/>
              </w:rPr>
              <w:t>EMS</w:t>
            </w:r>
          </w:p>
        </w:tc>
        <w:tc>
          <w:tcPr>
            <w:tcW w:w="1698" w:type="dxa"/>
          </w:tcPr>
          <w:p>
            <w:pPr>
              <w:rPr>
                <w:rFonts w:hint="eastAsia" w:eastAsia="宋体"/>
                <w:lang w:val="en-US" w:eastAsia="zh-CN"/>
              </w:rPr>
            </w:pPr>
            <w:r>
              <w:rPr>
                <w:rFonts w:hint="eastAsia" w:eastAsia="宋体"/>
                <w:lang w:val="en-US" w:eastAsia="zh-CN"/>
              </w:rPr>
              <w:t>1</w:t>
            </w:r>
          </w:p>
        </w:tc>
        <w:tc>
          <w:tcPr>
            <w:tcW w:w="1717" w:type="dxa"/>
          </w:tcPr>
          <w:p>
            <w:pPr>
              <w:rPr>
                <w:rFonts w:hint="eastAsia" w:eastAsia="宋体"/>
                <w:lang w:val="en-US" w:eastAsia="zh-CN"/>
              </w:rPr>
            </w:pPr>
            <w:r>
              <w:rPr>
                <w:rFonts w:hint="eastAsia" w:eastAsia="宋体"/>
                <w:lang w:val="en-US" w:eastAsia="zh-CN"/>
              </w:rPr>
              <w:t>0</w:t>
            </w:r>
          </w:p>
        </w:tc>
        <w:tc>
          <w:tcPr>
            <w:tcW w:w="1560" w:type="dxa"/>
          </w:tcPr>
          <w:p>
            <w:pPr>
              <w:rPr>
                <w:rFonts w:hint="eastAsia" w:eastAsia="宋体"/>
                <w:lang w:val="en-US" w:eastAsia="zh-CN"/>
              </w:rPr>
            </w:pPr>
            <w:r>
              <w:rPr>
                <w:rFonts w:hint="eastAsia" w:eastAsia="宋体"/>
                <w:lang w:val="en-US" w:eastAsia="zh-CN"/>
              </w:rPr>
              <w:t>1</w:t>
            </w:r>
          </w:p>
        </w:tc>
        <w:tc>
          <w:tcPr>
            <w:tcW w:w="2965" w:type="dxa"/>
          </w:tcPr>
          <w:p>
            <w:pPr>
              <w:rPr>
                <w:rFonts w:hint="eastAsia" w:eastAsia="宋体"/>
              </w:rPr>
            </w:pPr>
            <w:r>
              <w:rPr>
                <w:rFonts w:hint="eastAsia" w:eastAsia="宋体"/>
                <w:lang w:eastAsia="zh-CN"/>
              </w:rPr>
              <w:t>■</w:t>
            </w:r>
            <w:r>
              <w:rPr>
                <w:rFonts w:hint="eastAsia" w:eastAsia="宋体"/>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eastAsia="宋体"/>
              </w:rPr>
            </w:pPr>
            <w:r>
              <w:rPr>
                <w:rFonts w:hint="eastAsia" w:eastAsia="宋体"/>
              </w:rPr>
              <w:t>OHSMS</w:t>
            </w:r>
          </w:p>
        </w:tc>
        <w:tc>
          <w:tcPr>
            <w:tcW w:w="1698" w:type="dxa"/>
            <w:vAlign w:val="top"/>
          </w:tcPr>
          <w:p>
            <w:pPr>
              <w:rPr>
                <w:rFonts w:hint="eastAsia" w:eastAsia="宋体"/>
              </w:rPr>
            </w:pPr>
            <w:r>
              <w:rPr>
                <w:rFonts w:hint="eastAsia" w:eastAsia="宋体"/>
                <w:lang w:val="en-US" w:eastAsia="zh-CN"/>
              </w:rPr>
              <w:t>1</w:t>
            </w:r>
          </w:p>
        </w:tc>
        <w:tc>
          <w:tcPr>
            <w:tcW w:w="1717" w:type="dxa"/>
            <w:vAlign w:val="top"/>
          </w:tcPr>
          <w:p>
            <w:pPr>
              <w:rPr>
                <w:rFonts w:hint="eastAsia" w:eastAsia="宋体"/>
              </w:rPr>
            </w:pPr>
            <w:r>
              <w:rPr>
                <w:rFonts w:hint="eastAsia" w:eastAsia="宋体"/>
                <w:lang w:val="en-US" w:eastAsia="zh-CN"/>
              </w:rPr>
              <w:t>0</w:t>
            </w:r>
          </w:p>
        </w:tc>
        <w:tc>
          <w:tcPr>
            <w:tcW w:w="1560" w:type="dxa"/>
            <w:vAlign w:val="top"/>
          </w:tcPr>
          <w:p>
            <w:pPr>
              <w:rPr>
                <w:rFonts w:hint="eastAsia" w:eastAsia="宋体"/>
              </w:rPr>
            </w:pPr>
            <w:r>
              <w:rPr>
                <w:rFonts w:hint="eastAsia" w:eastAsia="宋体"/>
                <w:lang w:val="en-US" w:eastAsia="zh-CN"/>
              </w:rPr>
              <w:t>1</w:t>
            </w:r>
          </w:p>
        </w:tc>
        <w:tc>
          <w:tcPr>
            <w:tcW w:w="2965" w:type="dxa"/>
            <w:vAlign w:val="top"/>
          </w:tcPr>
          <w:p>
            <w:pPr>
              <w:rPr>
                <w:rFonts w:hint="eastAsia" w:eastAsia="宋体"/>
              </w:rPr>
            </w:pPr>
            <w:r>
              <w:rPr>
                <w:rFonts w:hint="eastAsia" w:eastAsia="宋体"/>
                <w:lang w:eastAsia="zh-CN"/>
              </w:rPr>
              <w:t>■</w:t>
            </w:r>
            <w:r>
              <w:rPr>
                <w:rFonts w:hint="eastAsia" w:eastAsia="宋体"/>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363220</wp:posOffset>
                  </wp:positionH>
                  <wp:positionV relativeFrom="paragraph">
                    <wp:posOffset>45085</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b/>
                <w:kern w:val="0"/>
                <w:sz w:val="20"/>
                <w:szCs w:val="20"/>
                <w:lang w:val="en-US" w:eastAsia="zh-CN"/>
              </w:rPr>
              <w:t>2022年4月7日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82"/>
              <w:rPr>
                <w:u w:val="single"/>
              </w:rPr>
            </w:pPr>
            <w:r>
              <w:rPr>
                <w:rFonts w:hint="eastAsia"/>
              </w:rPr>
              <w:t>最高管理者制定了文件化</w:t>
            </w:r>
            <w:r>
              <w:rPr>
                <w:rFonts w:hint="eastAsia"/>
                <w:highlight w:val="none"/>
              </w:rPr>
              <w:t>的管理体系方针：</w:t>
            </w:r>
            <w:r>
              <w:rPr>
                <w:rFonts w:hint="eastAsia" w:ascii="宋体" w:hAnsi="宋体"/>
                <w:color w:val="000000" w:themeColor="text1"/>
                <w:u w:val="single"/>
              </w:rPr>
              <w:t>“预防为主，遵规守法，确保环保安全；以人为本，持续改进，实现平安和谐”</w:t>
            </w:r>
            <w:r>
              <w:rPr>
                <w:rFonts w:hint="eastAsia"/>
                <w:u w:val="single"/>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lang w:val="en-US" w:eastAsia="zh-CN"/>
                    </w:rPr>
                    <w:t>固废排放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rPr>
                      <w:highlight w:val="none"/>
                    </w:rPr>
                  </w:pPr>
                  <w:r>
                    <w:rPr>
                      <w:rFonts w:hint="eastAsia" w:ascii="宋体" w:hAnsi="宋体"/>
                      <w:color w:val="auto"/>
                      <w:szCs w:val="21"/>
                    </w:rPr>
                    <w:t>火灾发生率为0</w:t>
                  </w:r>
                </w:p>
              </w:tc>
              <w:tc>
                <w:tcPr>
                  <w:tcW w:w="2727"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highlight w:val="none"/>
                    </w:rPr>
                  </w:pPr>
                  <w:r>
                    <w:rPr>
                      <w:rFonts w:hint="eastAsia" w:ascii="宋体" w:hAnsi="宋体"/>
                      <w:color w:val="auto"/>
                      <w:szCs w:val="21"/>
                    </w:rPr>
                    <w:t>固废处置合规率100%</w:t>
                  </w:r>
                </w:p>
              </w:tc>
              <w:tc>
                <w:tcPr>
                  <w:tcW w:w="2727"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组织应确定、提供并维护所需的基础设施情</w:t>
            </w:r>
            <w:r>
              <w:rPr>
                <w:rFonts w:hint="eastAsia"/>
                <w:highlight w:val="none"/>
              </w:rPr>
              <w:t>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5000</w:t>
            </w:r>
            <w:r>
              <w:rPr>
                <w:rFonts w:hint="eastAsia"/>
                <w:highlight w:val="none"/>
                <w:u w:val="single"/>
              </w:rPr>
              <w:t xml:space="preserve">   </w:t>
            </w:r>
            <w:r>
              <w:rPr>
                <w:rFonts w:hint="eastAsia"/>
                <w:highlight w:val="none"/>
              </w:rPr>
              <w:t>平方米；</w:t>
            </w:r>
            <w:r>
              <w:rPr>
                <w:rFonts w:hint="eastAsia"/>
                <w:highlight w:val="none"/>
                <w:lang w:val="en-US" w:eastAsia="zh-CN"/>
              </w:rPr>
              <w:t>经营场所</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电脑、打印机、空调等办公设备</w:t>
            </w:r>
            <w:r>
              <w:rPr>
                <w:rFonts w:hint="eastAsia"/>
                <w:highlight w:val="none"/>
                <w:u w:val="single"/>
              </w:rPr>
              <w:t xml:space="preserve">     </w:t>
            </w:r>
          </w:p>
          <w:p>
            <w:pPr>
              <w:spacing w:line="400" w:lineRule="exact"/>
              <w:rPr>
                <w:highlight w:val="none"/>
                <w:u w:val="single"/>
              </w:rPr>
            </w:pPr>
            <w:r>
              <w:rPr>
                <w:rFonts w:hint="eastAsia"/>
                <w:highlight w:val="none"/>
              </w:rPr>
              <w:t>主要环保设备有：</w:t>
            </w:r>
            <w:r>
              <w:rPr>
                <w:rFonts w:hint="eastAsia"/>
                <w:highlight w:val="none"/>
                <w:u w:val="single"/>
              </w:rPr>
              <w:t xml:space="preserve">  </w:t>
            </w:r>
            <w:r>
              <w:rPr>
                <w:rFonts w:hint="eastAsia"/>
                <w:szCs w:val="21"/>
                <w:highlight w:val="none"/>
                <w:u w:val="single"/>
              </w:rPr>
              <w:t>消防栓、灭火器</w:t>
            </w:r>
            <w:r>
              <w:rPr>
                <w:rFonts w:hint="eastAsia"/>
                <w:highlight w:val="none"/>
                <w:u w:val="single"/>
              </w:rPr>
              <w:t xml:space="preserve">             </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 xml:space="preserve">方法： </w:t>
            </w:r>
            <w:r>
              <w:rPr>
                <w:rFonts w:hint="eastAsia"/>
                <w:lang w:val="en-US" w:eastAsia="zh-CN"/>
              </w:rPr>
              <w:t>无</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u w:val="single"/>
                <w:lang w:val="en-US" w:eastAsia="zh-CN"/>
              </w:rPr>
              <w:t>不适用</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eastAsia="宋体"/>
                <w:lang w:eastAsia="zh-CN"/>
              </w:rPr>
            </w:pPr>
            <w:r>
              <w:rPr>
                <w:rFonts w:hint="eastAsia"/>
              </w:rPr>
              <w:t>组织在生产和服务提供的整个过程中</w:t>
            </w:r>
            <w:r>
              <w:rPr>
                <w:rFonts w:hint="eastAsia"/>
                <w:lang w:val="en-US" w:eastAsia="zh-CN"/>
              </w:rPr>
              <w:t>不涉及</w:t>
            </w:r>
            <w:r>
              <w:rPr>
                <w:rFonts w:hint="eastAsia"/>
              </w:rPr>
              <w:t>危化品</w:t>
            </w:r>
            <w:r>
              <w:rPr>
                <w:rFonts w:hint="eastAsia"/>
                <w:lang w:eastAsia="zh-CN"/>
              </w:rPr>
              <w:t>。</w:t>
            </w:r>
          </w:p>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default" w:eastAsia="宋体"/>
                <w:lang w:val="en-US" w:eastAsia="zh-CN"/>
              </w:rPr>
            </w:pPr>
            <w:r>
              <w:rPr>
                <w:rFonts w:hint="eastAsia"/>
              </w:rPr>
              <w:t>危化品：</w:t>
            </w:r>
            <w:r>
              <w:rPr>
                <w:rFonts w:hint="eastAsia"/>
                <w:lang w:val="en-US" w:eastAsia="zh-CN"/>
              </w:rPr>
              <w:t>不涉及</w:t>
            </w:r>
            <w:r>
              <w:rPr>
                <w:rFonts w:hint="eastAsia"/>
              </w:rPr>
              <w:t>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lang w:eastAsia="zh-CN"/>
              </w:rPr>
              <w:t>□</w:t>
            </w:r>
            <w:r>
              <w:rPr>
                <w:rFonts w:hint="eastAsia" w:eastAsia="宋体"/>
              </w:rPr>
              <w:t xml:space="preserve">重要原材料 </w:t>
            </w:r>
            <w:r>
              <w:rPr>
                <w:rFonts w:hint="eastAsia"/>
                <w:lang w:eastAsia="zh-CN"/>
              </w:rPr>
              <w:t>□</w:t>
            </w:r>
            <w:r>
              <w:rPr>
                <w:rFonts w:hint="eastAsia" w:eastAsia="宋体"/>
              </w:rPr>
              <w:t xml:space="preserve">设备 </w:t>
            </w:r>
            <w:r>
              <w:rPr>
                <w:rFonts w:hint="eastAsia"/>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lang w:eastAsia="zh-CN"/>
              </w:rPr>
              <w:t>□</w:t>
            </w:r>
            <w:r>
              <w:rPr>
                <w:rFonts w:hint="eastAsia" w:eastAsia="宋体"/>
              </w:rPr>
              <w:t xml:space="preserve">工艺 </w:t>
            </w:r>
            <w:r>
              <w:rPr>
                <w:rFonts w:hint="eastAsia"/>
                <w:lang w:eastAsia="zh-CN"/>
              </w:rPr>
              <w:t>□</w:t>
            </w:r>
            <w:r>
              <w:rPr>
                <w:rFonts w:hint="eastAsia" w:eastAsia="宋体"/>
              </w:rPr>
              <w:t xml:space="preserve">加工场所 </w:t>
            </w:r>
            <w:r>
              <w:rPr>
                <w:rFonts w:hint="eastAsia"/>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rPr>
                <w:rFonts w:hint="eastAsia"/>
              </w:rPr>
            </w:pPr>
            <w:r>
              <w:rPr>
                <w:rFonts w:hint="eastAsia" w:ascii="Wingdings" w:hAnsi="Wingdings"/>
                <w:lang w:eastAsia="zh-CN"/>
              </w:rPr>
              <w:t>■</w:t>
            </w:r>
            <w:r>
              <w:rPr>
                <w:rFonts w:hint="eastAsia"/>
              </w:rPr>
              <w:t xml:space="preserve">火灾控制 </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日进行了</w:t>
            </w:r>
            <w:r>
              <w:rPr>
                <w:rFonts w:hint="eastAsia"/>
                <w:lang w:val="en-US" w:eastAsia="zh-CN"/>
              </w:rPr>
              <w:t>消防</w:t>
            </w:r>
            <w:r>
              <w:rPr>
                <w:rFonts w:hint="eastAsia"/>
              </w:rPr>
              <w:t>的演练</w:t>
            </w:r>
            <w:r>
              <w:rPr>
                <w:rFonts w:hint="eastAsia" w:ascii="Times New Roman" w:hAnsi="Times New Roman" w:cs="Times New Roman"/>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ascii="Times New Roman" w:hAnsi="Times New Roman" w:cs="Times New Roman"/>
              </w:rPr>
            </w:pPr>
            <w:r>
              <w:rPr>
                <w:rFonts w:hint="eastAsia"/>
              </w:rPr>
              <w:t>实施</w:t>
            </w:r>
            <w:r>
              <w:rPr>
                <w:rFonts w:hint="eastAsia" w:ascii="Times New Roman" w:hAnsi="Times New Roman" w:cs="Times New Roman"/>
              </w:rPr>
              <w:t>合规性评价的时间：</w:t>
            </w:r>
          </w:p>
          <w:p>
            <w:pPr>
              <w:shd w:val="clear" w:color="auto" w:fill="EBF1DE" w:themeFill="accent3" w:themeFillTint="32"/>
              <w:rPr>
                <w:rFonts w:hint="eastAsia" w:ascii="Times New Roman" w:hAnsi="Times New Roman" w:cs="Times New Roman"/>
              </w:rPr>
            </w:pPr>
            <w:r>
              <w:rPr>
                <w:rFonts w:hint="eastAsia" w:cs="Times New Roman"/>
                <w:lang w:eastAsia="zh-CN"/>
              </w:rPr>
              <w:t>■</w:t>
            </w:r>
            <w:r>
              <w:rPr>
                <w:rFonts w:hint="eastAsia" w:ascii="Times New Roman" w:hAnsi="Times New Roman" w:cs="Times New Roman"/>
              </w:rPr>
              <w:t xml:space="preserve">定期（每年） </w:t>
            </w:r>
            <w:r>
              <w:rPr>
                <w:rFonts w:hint="eastAsia"/>
              </w:rPr>
              <w:t>：</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组织在适当阶段实施</w:t>
            </w:r>
            <w:r>
              <w:rPr>
                <w:rFonts w:hint="eastAsia"/>
                <w:highlight w:val="none"/>
              </w:rPr>
              <w:t xml:space="preserve">策划的安排，以验证环境法律法规的要求已得到满足。 </w:t>
            </w:r>
          </w:p>
          <w:p>
            <w:pPr>
              <w:shd w:val="clear" w:color="auto" w:fill="EBF1DE" w:themeFill="accent3" w:themeFillTint="32"/>
              <w:rPr>
                <w:rFonts w:hint="eastAsia" w:eastAsia="宋体"/>
                <w:highlight w:val="none"/>
                <w:lang w:val="en-US" w:eastAsia="zh-CN"/>
              </w:rPr>
            </w:pPr>
            <w:r>
              <w:rPr>
                <w:rFonts w:hint="eastAsia"/>
                <w:highlight w:val="none"/>
              </w:rPr>
              <w:t>实施的检测：</w:t>
            </w:r>
            <w:r>
              <w:rPr>
                <w:rFonts w:hint="eastAsia"/>
                <w:highlight w:val="none"/>
                <w:lang w:val="en-US" w:eastAsia="zh-CN"/>
              </w:rPr>
              <w:t>无</w:t>
            </w:r>
          </w:p>
          <w:p>
            <w:pPr>
              <w:shd w:val="clear" w:color="auto" w:fill="EBF1DE" w:themeFill="accent3" w:themeFillTint="32"/>
              <w:rPr>
                <w:highlight w:val="none"/>
              </w:rPr>
            </w:pPr>
            <w:r>
              <w:rPr>
                <w:rFonts w:hint="eastAsia"/>
                <w:highlight w:val="none"/>
              </w:rPr>
              <w:t>《环境监测报告》编号：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ascii="Times New Roman" w:hAnsi="Times New Roman" w:cs="Times New Roman"/>
              </w:rPr>
              <w:t>策划于</w:t>
            </w:r>
            <w:r>
              <w:rPr>
                <w:rFonts w:hint="eastAsia" w:ascii="Times New Roman" w:hAnsi="Times New Roman" w:cs="Times New Roman"/>
                <w:lang w:val="en-US" w:eastAsia="zh-CN"/>
              </w:rPr>
              <w:t>2022年1月25日</w:t>
            </w:r>
            <w:r>
              <w:rPr>
                <w:rFonts w:hint="eastAsia" w:ascii="Times New Roman" w:hAnsi="Times New Roman" w:cs="Times New Roman"/>
              </w:rPr>
              <w:t>实施了环境管理体系内部审核，对环境管理体系的符合性和有效性进行了审核。内审发现的</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1</w:t>
            </w:r>
            <w:r>
              <w:rPr>
                <w:rFonts w:hint="eastAsia" w:ascii="Times New Roman" w:hAnsi="Times New Roman" w:cs="Times New Roman"/>
                <w:u w:val="single"/>
              </w:rPr>
              <w:t xml:space="preserve"> 项</w:t>
            </w:r>
            <w:r>
              <w:rPr>
                <w:rFonts w:hint="eastAsia" w:ascii="Times New Roman" w:hAnsi="Times New Roman" w:cs="Times New Roman"/>
              </w:rPr>
              <w:t>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w:t>
            </w:r>
            <w:r>
              <w:rPr>
                <w:rFonts w:hint="eastAsia" w:ascii="Times New Roman" w:hAnsi="Times New Roman" w:cs="Times New Roman"/>
              </w:rPr>
              <w:t>策划的时间间隔，在</w:t>
            </w:r>
            <w:r>
              <w:rPr>
                <w:rFonts w:hint="eastAsia" w:ascii="Times New Roman" w:hAnsi="Times New Roman" w:cs="Times New Roman"/>
                <w:lang w:val="en-US" w:eastAsia="zh-CN"/>
              </w:rPr>
              <w:t>2022</w:t>
            </w:r>
            <w:r>
              <w:rPr>
                <w:rFonts w:hint="eastAsia" w:ascii="Times New Roman" w:hAnsi="Times New Roman" w:cs="Times New Roman"/>
              </w:rPr>
              <w:t>年</w:t>
            </w:r>
            <w:r>
              <w:rPr>
                <w:rFonts w:hint="eastAsia" w:cs="Times New Roman"/>
                <w:lang w:val="en-US" w:eastAsia="zh-CN"/>
              </w:rPr>
              <w:t>2</w:t>
            </w:r>
            <w:r>
              <w:rPr>
                <w:rFonts w:hint="eastAsia" w:ascii="Times New Roman" w:hAnsi="Times New Roman" w:cs="Times New Roman"/>
              </w:rPr>
              <w:t>月</w:t>
            </w:r>
            <w:r>
              <w:rPr>
                <w:rFonts w:hint="eastAsia" w:ascii="Times New Roman" w:hAnsi="Times New Roman" w:cs="Times New Roman"/>
                <w:lang w:val="en-US" w:eastAsia="zh-CN"/>
              </w:rPr>
              <w:t>2</w:t>
            </w:r>
            <w:r>
              <w:rPr>
                <w:rFonts w:hint="eastAsia" w:cs="Times New Roman"/>
                <w:lang w:val="en-US" w:eastAsia="zh-CN"/>
              </w:rPr>
              <w:t>5</w:t>
            </w:r>
            <w:r>
              <w:rPr>
                <w:rFonts w:hint="eastAsia" w:ascii="Times New Roman" w:hAnsi="Times New Roman" w:cs="Times New Roman"/>
              </w:rPr>
              <w:t>日对组织的环境管理体系进行了评审，以确保其持续的适宜性、充分性和有效性；管理评审输入、输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bookmarkStart w:id="31" w:name="_GoBack"/>
      <w:bookmarkEnd w:id="31"/>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82"/>
              <w:rPr>
                <w:rFonts w:hint="eastAsia"/>
                <w:u w:val="single"/>
              </w:rPr>
            </w:pPr>
            <w:r>
              <w:rPr>
                <w:rFonts w:hint="eastAsia"/>
              </w:rPr>
              <w:t>最高管理者制定了文件化的职业健康安全管理体系方针</w:t>
            </w:r>
            <w:r>
              <w:rPr>
                <w:rFonts w:hint="eastAsia" w:ascii="宋体" w:hAnsi="宋体"/>
                <w:color w:val="000000" w:themeColor="text1"/>
                <w:u w:val="single"/>
              </w:rPr>
              <w:t>“预防为主，遵规守法，确保环保安全；以人为本，持续改进，实现平安和谐”</w:t>
            </w:r>
            <w:r>
              <w:rPr>
                <w:rFonts w:hint="eastAsia"/>
                <w:u w:val="single"/>
                <w:lang w:eastAsia="zh-CN"/>
              </w:rPr>
              <w:t>”</w:t>
            </w:r>
            <w:r>
              <w:rPr>
                <w:rFonts w:hint="eastAsia"/>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ascii="Times New Roman" w:hAnsi="Times New Roman" w:cs="Times New Roman"/>
              </w:rPr>
              <w:t>员工代表是——</w:t>
            </w:r>
            <w:r>
              <w:rPr>
                <w:rFonts w:hint="eastAsia" w:ascii="宋体" w:hAnsi="宋体" w:cs="宋体"/>
                <w:color w:val="auto"/>
                <w:szCs w:val="21"/>
                <w:lang w:eastAsia="zh-CN"/>
              </w:rPr>
              <w:t>林福康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火灾</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触电</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交通意外</w:t>
                  </w:r>
                </w:p>
              </w:tc>
              <w:tc>
                <w:tcPr>
                  <w:tcW w:w="3965" w:type="dxa"/>
                  <w:vAlign w:val="top"/>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通过管理方案和预案措施进行管理</w:t>
                  </w:r>
                </w:p>
              </w:tc>
              <w:tc>
                <w:tcPr>
                  <w:tcW w:w="1717" w:type="dxa"/>
                  <w:vAlign w:val="top"/>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szCs w:val="21"/>
                <w:highlight w:val="none"/>
                <w:lang w:val="en-US" w:eastAsia="zh-CN"/>
              </w:rPr>
              <w:t>意外交通伤害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职业健康安全目标</w:t>
                  </w:r>
                </w:p>
              </w:tc>
              <w:tc>
                <w:tcPr>
                  <w:tcW w:w="3136" w:type="dxa"/>
                  <w:shd w:val="clear" w:color="auto" w:fill="auto"/>
                </w:tcPr>
                <w:p>
                  <w:pPr>
                    <w:rPr>
                      <w:rFonts w:hint="eastAsia" w:ascii="Times New Roman" w:hAnsi="Times New Roman" w:cs="Times New Roman"/>
                    </w:rPr>
                  </w:pPr>
                  <w:r>
                    <w:rPr>
                      <w:rFonts w:hint="eastAsia" w:ascii="Times New Roman" w:hAnsi="Times New Roman" w:cs="Times New Roman"/>
                    </w:rPr>
                    <w:t>控制措施</w:t>
                  </w:r>
                </w:p>
              </w:tc>
              <w:tc>
                <w:tcPr>
                  <w:tcW w:w="1350" w:type="dxa"/>
                  <w:shd w:val="clear" w:color="auto" w:fill="auto"/>
                </w:tcPr>
                <w:p>
                  <w:pPr>
                    <w:rPr>
                      <w:rFonts w:hint="eastAsia" w:ascii="Times New Roman" w:hAnsi="Times New Roman" w:cs="Times New Roman"/>
                    </w:rPr>
                  </w:pPr>
                  <w:r>
                    <w:rPr>
                      <w:rFonts w:hint="eastAsia" w:ascii="Times New Roman" w:hAnsi="Times New Roman" w:cs="Times New Roman"/>
                    </w:rPr>
                    <w:t>责任部门</w:t>
                  </w:r>
                </w:p>
              </w:tc>
              <w:tc>
                <w:tcPr>
                  <w:tcW w:w="1774" w:type="dxa"/>
                  <w:shd w:val="clear" w:color="auto" w:fill="auto"/>
                </w:tcPr>
                <w:p>
                  <w:pPr>
                    <w:rPr>
                      <w:rFonts w:hint="eastAsia" w:ascii="Times New Roman" w:hAnsi="Times New Roman" w:cs="Times New Roman"/>
                    </w:rPr>
                  </w:pPr>
                  <w:r>
                    <w:rPr>
                      <w:rFonts w:hint="eastAsia" w:ascii="Times New Roman" w:hAnsi="Times New Roman"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rPr>
                      <w:rFonts w:hint="eastAsia" w:ascii="宋体" w:hAnsi="宋体"/>
                      <w:color w:val="000000"/>
                      <w:szCs w:val="21"/>
                    </w:rPr>
                    <w:t>火灾发生率为0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yellow"/>
                      <w:lang w:val="en-US" w:eastAsia="zh-CN" w:bidi="ar-SA"/>
                    </w:rPr>
                  </w:pPr>
                  <w:r>
                    <w:rPr>
                      <w:rFonts w:hint="eastAsia" w:ascii="宋体" w:hAnsi="宋体"/>
                      <w:color w:val="000000"/>
                      <w:szCs w:val="21"/>
                    </w:rPr>
                    <w:t>员工意外伤害为0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left"/>
                    <w:rPr>
                      <w:rFonts w:ascii="宋体" w:hAnsi="宋体" w:eastAsia="宋体" w:cs="Times New Roman"/>
                      <w:kern w:val="2"/>
                      <w:sz w:val="21"/>
                      <w:szCs w:val="24"/>
                      <w:lang w:val="en-GB" w:eastAsia="zh-CN" w:bidi="ar-SA"/>
                    </w:rPr>
                  </w:pPr>
                  <w:r>
                    <w:rPr>
                      <w:rFonts w:hint="eastAsia" w:ascii="宋体" w:hAnsi="宋体"/>
                      <w:lang w:val="en-US" w:eastAsia="zh-CN"/>
                    </w:rPr>
                    <w:t>未有</w:t>
                  </w:r>
                  <w:r>
                    <w:rPr>
                      <w:rFonts w:hint="eastAsia" w:ascii="宋体" w:hAnsi="宋体"/>
                      <w:color w:val="000000"/>
                      <w:szCs w:val="21"/>
                    </w:rPr>
                    <w:t>意外伤害</w:t>
                  </w:r>
                  <w:r>
                    <w:rPr>
                      <w:rFonts w:hint="eastAsia" w:ascii="宋体" w:hAnsi="宋体"/>
                      <w:color w:val="000000"/>
                      <w:szCs w:val="21"/>
                      <w:lang w:val="en-US" w:eastAsia="zh-CN"/>
                    </w:rPr>
                    <w:t>事件</w:t>
                  </w:r>
                  <w:r>
                    <w:rPr>
                      <w:rFonts w:hint="eastAsia" w:ascii="宋体" w:hAnsi="宋体"/>
                      <w:lang w:val="en-US" w:eastAsia="zh-CN"/>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3"/>
                  </w:pPr>
                </w:p>
              </w:tc>
              <w:tc>
                <w:tcPr>
                  <w:tcW w:w="3136" w:type="dxa"/>
                  <w:shd w:val="clear" w:color="auto" w:fill="auto"/>
                  <w:vAlign w:val="center"/>
                </w:tcPr>
                <w:p>
                  <w:pPr>
                    <w:rPr>
                      <w:rFonts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eastAsia="宋体" w:cs="Times New Roman"/>
                      <w:kern w:val="2"/>
                      <w:sz w:val="21"/>
                      <w:szCs w:val="24"/>
                      <w:lang w:val="en-US" w:eastAsia="zh-CN" w:bidi="ar-SA"/>
                    </w:rPr>
                  </w:pP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5000</w:t>
            </w:r>
            <w:r>
              <w:rPr>
                <w:rFonts w:hint="eastAsia"/>
                <w:u w:val="single"/>
              </w:rPr>
              <w:t xml:space="preserve">  </w:t>
            </w:r>
            <w:r>
              <w:rPr>
                <w:rFonts w:hint="eastAsia"/>
              </w:rPr>
              <w:t>平方米；</w:t>
            </w:r>
            <w:r>
              <w:rPr>
                <w:rFonts w:hint="eastAsia"/>
                <w:lang w:val="en-US" w:eastAsia="zh-CN"/>
              </w:rPr>
              <w:t>经营场地</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rFonts w:hint="default"/>
                <w:u w:val="single"/>
                <w:lang w:val="en-US"/>
              </w:rPr>
            </w:pPr>
            <w:r>
              <w:rPr>
                <w:rFonts w:hint="eastAsia"/>
              </w:rPr>
              <w:t>主要生产设备有：</w:t>
            </w:r>
            <w:r>
              <w:rPr>
                <w:rFonts w:hint="eastAsia"/>
                <w:u w:val="single"/>
              </w:rPr>
              <w:t xml:space="preserve">  </w:t>
            </w:r>
            <w:r>
              <w:rPr>
                <w:rFonts w:hint="eastAsia"/>
                <w:highlight w:val="none"/>
                <w:u w:val="single"/>
                <w:lang w:val="en-US" w:eastAsia="zh-CN"/>
              </w:rPr>
              <w:t>电脑、打印机、空调等办公设备</w:t>
            </w:r>
          </w:p>
          <w:p>
            <w:pPr>
              <w:spacing w:line="400" w:lineRule="exact"/>
              <w:rPr>
                <w:u w:val="single"/>
              </w:rPr>
            </w:pPr>
            <w:r>
              <w:rPr>
                <w:rFonts w:hint="eastAsia"/>
              </w:rPr>
              <w:t>主要安全装置有：</w:t>
            </w:r>
            <w:r>
              <w:rPr>
                <w:rFonts w:hint="eastAsia"/>
                <w:szCs w:val="21"/>
                <w:highlight w:val="none"/>
                <w:u w:val="single"/>
              </w:rPr>
              <w:t>配电箱、空开</w:t>
            </w:r>
          </w:p>
          <w:p>
            <w:r>
              <w:rPr>
                <w:rFonts w:hint="eastAsia"/>
              </w:rPr>
              <w:t>特种设备：</w:t>
            </w:r>
            <w:r>
              <w:rPr>
                <w:rFonts w:hint="eastAsia" w:ascii="Wingdings" w:hAnsi="Wingdings"/>
                <w:u w:val="single"/>
                <w:lang w:val="en-US" w:eastAsia="zh-CN"/>
              </w:rPr>
              <w:t>无</w:t>
            </w:r>
            <w:r>
              <w:rPr>
                <w:rFonts w:hint="eastAsia"/>
              </w:rPr>
              <w:t xml:space="preserve"> </w:t>
            </w:r>
          </w:p>
          <w:p>
            <w:pPr>
              <w:rPr>
                <w:rFonts w:hint="eastAsia" w:eastAsia="宋体"/>
                <w:lang w:val="en-US" w:eastAsia="zh-CN"/>
              </w:rPr>
            </w:pPr>
            <w:r>
              <w:rPr>
                <w:rFonts w:hint="eastAsia"/>
              </w:rPr>
              <w:t>辅助场所：</w:t>
            </w:r>
            <w:r>
              <w:rPr>
                <w:rFonts w:hint="eastAsia" w:ascii="Wingdings" w:hAnsi="Wingdings"/>
                <w:u w:val="single"/>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pPr>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highlight w:val="none"/>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  □穿戴劳保用品（防尘面罩）</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rPr>
                <w:highlight w:val="none"/>
              </w:rPr>
            </w:pPr>
          </w:p>
          <w:p>
            <w:pPr>
              <w:jc w:val="left"/>
              <w:rPr>
                <w:highlight w:val="none"/>
              </w:rPr>
            </w:pPr>
            <w:r>
              <w:rPr>
                <w:rFonts w:hint="eastAsia"/>
                <w:highlight w:val="none"/>
              </w:rPr>
              <w:t>生产和服务提供及配套设施（公用过程）的场所及过程的职业健康安全控制：</w:t>
            </w:r>
          </w:p>
          <w:p>
            <w:pPr>
              <w:jc w:val="left"/>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hint="eastAsia" w:eastAsia="宋体"/>
                <w:lang w:eastAsia="zh-CN"/>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rPr>
                <w:rFonts w:hint="eastAsia" w:eastAsia="宋体"/>
              </w:rPr>
            </w:pPr>
            <w:r>
              <w:rPr>
                <w:rFonts w:hint="eastAsia" w:ascii="Times New Roman" w:hAnsi="Times New Roman" w:cs="Times New Roman"/>
                <w:highlight w:val="none"/>
              </w:rPr>
              <w:t>于</w:t>
            </w:r>
            <w:r>
              <w:rPr>
                <w:rFonts w:hint="eastAsia" w:ascii="Times New Roman" w:hAnsi="Times New Roman" w:cs="Times New Roman"/>
                <w:highlight w:val="none"/>
                <w:u w:val="single"/>
                <w:lang w:val="en-US" w:eastAsia="zh-CN"/>
              </w:rPr>
              <w:t>202</w:t>
            </w:r>
            <w:r>
              <w:rPr>
                <w:rFonts w:hint="eastAsia" w:cs="Times New Roman"/>
                <w:highlight w:val="none"/>
                <w:u w:val="single"/>
                <w:lang w:val="en-US" w:eastAsia="zh-CN"/>
              </w:rPr>
              <w:t>2</w:t>
            </w:r>
            <w:r>
              <w:rPr>
                <w:rFonts w:hint="eastAsia" w:ascii="Times New Roman" w:hAnsi="Times New Roman" w:cs="Times New Roman"/>
                <w:highlight w:val="none"/>
                <w:u w:val="single"/>
              </w:rPr>
              <w:t>年</w:t>
            </w:r>
            <w:r>
              <w:rPr>
                <w:rFonts w:hint="eastAsia" w:cs="Times New Roman"/>
                <w:highlight w:val="none"/>
                <w:u w:val="single"/>
                <w:lang w:val="en-US" w:eastAsia="zh-CN"/>
              </w:rPr>
              <w:t>3</w:t>
            </w:r>
            <w:r>
              <w:rPr>
                <w:rFonts w:hint="eastAsia" w:ascii="Times New Roman" w:hAnsi="Times New Roman" w:cs="Times New Roman"/>
                <w:highlight w:val="none"/>
                <w:u w:val="single"/>
              </w:rPr>
              <w:t>月</w:t>
            </w:r>
            <w:r>
              <w:rPr>
                <w:rFonts w:hint="eastAsia" w:cs="Times New Roman"/>
                <w:highlight w:val="none"/>
                <w:u w:val="single"/>
                <w:lang w:val="en-US" w:eastAsia="zh-CN"/>
              </w:rPr>
              <w:t>1</w:t>
            </w:r>
            <w:r>
              <w:rPr>
                <w:rFonts w:hint="eastAsia" w:ascii="Times New Roman" w:hAnsi="Times New Roman" w:cs="Times New Roman"/>
                <w:highlight w:val="none"/>
                <w:u w:val="single"/>
              </w:rPr>
              <w:t>日</w:t>
            </w:r>
            <w:r>
              <w:rPr>
                <w:rFonts w:hint="eastAsia" w:ascii="Times New Roman" w:hAnsi="Times New Roman" w:cs="Times New Roman"/>
                <w:highlight w:val="none"/>
              </w:rPr>
              <w:t>进行了</w:t>
            </w:r>
            <w:r>
              <w:rPr>
                <w:rFonts w:hint="eastAsia" w:ascii="Times New Roman" w:hAnsi="Times New Roman" w:cs="Times New Roman"/>
                <w:highlight w:val="none"/>
                <w:lang w:val="en-US" w:eastAsia="zh-CN"/>
              </w:rPr>
              <w:t>消防</w:t>
            </w:r>
            <w:r>
              <w:rPr>
                <w:rFonts w:hint="eastAsia" w:ascii="Times New Roman" w:hAnsi="Times New Roman" w:cs="Times New Roman"/>
                <w:highlight w:val="none"/>
              </w:rPr>
              <w:t>的演练</w:t>
            </w:r>
            <w:r>
              <w:rPr>
                <w:rFonts w:hint="eastAsia" w:ascii="Times New Roman" w:hAnsi="Times New Roman" w:cs="Times New Roman"/>
                <w:highlight w:val="none"/>
                <w:lang w:val="en-US" w:eastAsia="zh-CN"/>
              </w:rPr>
              <w:t>；</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ascii="Times New Roman" w:hAnsi="Times New Roman" w:cs="Times New Roman"/>
              </w:rPr>
              <w:t>实施合规性评价的时间：</w:t>
            </w:r>
          </w:p>
          <w:p>
            <w:pPr>
              <w:rPr>
                <w:rFonts w:hint="eastAsia" w:ascii="Times New Roman" w:hAnsi="Times New Roman" w:cs="Times New Roman"/>
              </w:rPr>
            </w:pPr>
            <w:r>
              <w:rPr>
                <w:rFonts w:hint="eastAsia" w:cs="Times New Roman"/>
                <w:lang w:eastAsia="zh-CN"/>
              </w:rPr>
              <w:t>□</w:t>
            </w:r>
            <w:r>
              <w:rPr>
                <w:rFonts w:hint="eastAsia" w:ascii="Times New Roman" w:hAnsi="Times New Roman" w:cs="Times New Roman"/>
              </w:rPr>
              <w:t>定期（每年） ：</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w:t>
            </w:r>
            <w:r>
              <w:rPr>
                <w:rFonts w:hint="eastAsia"/>
                <w:highlight w:val="none"/>
              </w:rPr>
              <w:t>测：</w:t>
            </w:r>
            <w:r>
              <w:rPr>
                <w:rFonts w:hint="eastAsia" w:ascii="Wingdings" w:hAnsi="Wingdings"/>
                <w:highlight w:val="none"/>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宋体" w:hAnsi="宋体" w:eastAsia="宋体" w:cs="宋体"/>
                <w:color w:val="auto"/>
                <w:szCs w:val="21"/>
                <w:highlight w:val="none"/>
                <w:lang w:val="en-US" w:eastAsia="zh-CN"/>
              </w:rPr>
              <w:t>2022年</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月1日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highlight w:val="none"/>
                <w:lang w:val="en-US" w:eastAsia="zh-CN"/>
              </w:rPr>
              <w:t>2022</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25</w:t>
            </w:r>
            <w:r>
              <w:rPr>
                <w:rFonts w:hint="eastAsia"/>
                <w:highlight w:val="none"/>
              </w:rPr>
              <w:t>日对组织的职业健康安全管理</w:t>
            </w:r>
            <w:r>
              <w:rPr>
                <w:rFonts w:hint="eastAsia"/>
              </w:rPr>
              <w:t>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tbl>
      <w:tblPr>
        <w:tblStyle w:val="9"/>
        <w:tblpPr w:leftFromText="180" w:rightFromText="180" w:vertAnchor="text" w:horzAnchor="page" w:tblpX="1186" w:tblpY="125"/>
        <w:tblOverlap w:val="never"/>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green"/>
                <w:lang w:eastAsia="ja-JP"/>
              </w:rPr>
            </w:pPr>
            <w:r>
              <w:rPr>
                <w:rFonts w:hint="eastAsia"/>
                <w:highlight w:val="green"/>
              </w:rPr>
              <w:t>4.1</w:t>
            </w:r>
          </w:p>
        </w:tc>
        <w:tc>
          <w:tcPr>
            <w:tcW w:w="768" w:type="dxa"/>
            <w:shd w:val="clear" w:color="auto" w:fill="F2DCDC" w:themeFill="accent2" w:themeFillTint="32"/>
            <w:vAlign w:val="center"/>
          </w:tcPr>
          <w:p>
            <w:pPr>
              <w:rPr>
                <w:highlight w:val="green"/>
                <w:lang w:eastAsia="ja-JP"/>
              </w:rPr>
            </w:pPr>
            <w:r>
              <w:rPr>
                <w:rFonts w:hint="eastAsia"/>
                <w:highlight w:val="green"/>
              </w:rPr>
              <w:t>4.2</w:t>
            </w:r>
          </w:p>
        </w:tc>
        <w:tc>
          <w:tcPr>
            <w:tcW w:w="768" w:type="dxa"/>
            <w:shd w:val="clear" w:color="auto" w:fill="F2DCDC" w:themeFill="accent2" w:themeFillTint="32"/>
            <w:vAlign w:val="center"/>
          </w:tcPr>
          <w:p>
            <w:pPr>
              <w:rPr>
                <w:highlight w:val="green"/>
                <w:lang w:eastAsia="ja-JP"/>
              </w:rPr>
            </w:pPr>
            <w:r>
              <w:rPr>
                <w:rFonts w:hint="eastAsia"/>
                <w:highlight w:val="green"/>
              </w:rPr>
              <w:t>4.3</w:t>
            </w:r>
          </w:p>
        </w:tc>
        <w:tc>
          <w:tcPr>
            <w:tcW w:w="769" w:type="dxa"/>
            <w:shd w:val="clear" w:color="auto" w:fill="F2DCDC" w:themeFill="accent2" w:themeFillTint="32"/>
            <w:vAlign w:val="center"/>
          </w:tcPr>
          <w:p>
            <w:pPr>
              <w:rPr>
                <w:highlight w:val="green"/>
                <w:lang w:eastAsia="ja-JP"/>
              </w:rPr>
            </w:pPr>
            <w:r>
              <w:rPr>
                <w:rFonts w:hint="eastAsia"/>
                <w:highlight w:val="green"/>
              </w:rPr>
              <w:t>4.4</w:t>
            </w:r>
          </w:p>
        </w:tc>
        <w:tc>
          <w:tcPr>
            <w:tcW w:w="768" w:type="dxa"/>
            <w:shd w:val="clear" w:color="auto" w:fill="F2DCDC" w:themeFill="accent2" w:themeFillTint="32"/>
            <w:vAlign w:val="center"/>
          </w:tcPr>
          <w:p>
            <w:pPr>
              <w:rPr>
                <w:highlight w:val="green"/>
                <w:lang w:eastAsia="ja-JP"/>
              </w:rPr>
            </w:pPr>
            <w:r>
              <w:rPr>
                <w:rFonts w:hint="eastAsia"/>
                <w:highlight w:val="green"/>
              </w:rPr>
              <w:t>5.1</w:t>
            </w:r>
          </w:p>
        </w:tc>
        <w:tc>
          <w:tcPr>
            <w:tcW w:w="768" w:type="dxa"/>
            <w:shd w:val="clear" w:color="auto" w:fill="F2DCDC" w:themeFill="accent2" w:themeFillTint="32"/>
            <w:vAlign w:val="center"/>
          </w:tcPr>
          <w:p>
            <w:pPr>
              <w:rPr>
                <w:highlight w:val="green"/>
                <w:lang w:eastAsia="ja-JP"/>
              </w:rPr>
            </w:pPr>
            <w:r>
              <w:rPr>
                <w:rFonts w:hint="eastAsia"/>
                <w:highlight w:val="green"/>
              </w:rPr>
              <w:t>5.2</w:t>
            </w:r>
          </w:p>
        </w:tc>
        <w:tc>
          <w:tcPr>
            <w:tcW w:w="769" w:type="dxa"/>
            <w:shd w:val="clear" w:color="auto" w:fill="F2DCDC" w:themeFill="accent2" w:themeFillTint="32"/>
            <w:vAlign w:val="center"/>
          </w:tcPr>
          <w:p>
            <w:pPr>
              <w:rPr>
                <w:highlight w:val="green"/>
                <w:lang w:eastAsia="ja-JP"/>
              </w:rPr>
            </w:pPr>
            <w:r>
              <w:rPr>
                <w:rFonts w:hint="eastAsia"/>
                <w:highlight w:val="green"/>
              </w:rPr>
              <w:t>5.3</w:t>
            </w:r>
          </w:p>
        </w:tc>
        <w:tc>
          <w:tcPr>
            <w:tcW w:w="768" w:type="dxa"/>
            <w:shd w:val="clear" w:color="auto" w:fill="F2DCDC" w:themeFill="accent2" w:themeFillTint="32"/>
            <w:vAlign w:val="center"/>
          </w:tcPr>
          <w:p>
            <w:pPr>
              <w:rPr>
                <w:highlight w:val="green"/>
                <w:lang w:eastAsia="ja-JP"/>
              </w:rPr>
            </w:pPr>
            <w:r>
              <w:rPr>
                <w:rFonts w:hint="eastAsia"/>
                <w:highlight w:val="green"/>
              </w:rPr>
              <w:t>5.4</w:t>
            </w:r>
          </w:p>
        </w:tc>
        <w:tc>
          <w:tcPr>
            <w:tcW w:w="768" w:type="dxa"/>
            <w:shd w:val="clear" w:color="auto" w:fill="F2DCDC" w:themeFill="accent2" w:themeFillTint="32"/>
            <w:vAlign w:val="center"/>
          </w:tcPr>
          <w:p>
            <w:pPr>
              <w:rPr>
                <w:highlight w:val="green"/>
                <w:lang w:eastAsia="ja-JP"/>
              </w:rPr>
            </w:pPr>
            <w:r>
              <w:rPr>
                <w:rFonts w:hint="eastAsia"/>
                <w:highlight w:val="green"/>
              </w:rPr>
              <w:t>6.1</w:t>
            </w:r>
          </w:p>
        </w:tc>
        <w:tc>
          <w:tcPr>
            <w:tcW w:w="769" w:type="dxa"/>
            <w:shd w:val="clear" w:color="auto" w:fill="F2DCDC" w:themeFill="accent2" w:themeFillTint="32"/>
            <w:vAlign w:val="center"/>
          </w:tcPr>
          <w:p>
            <w:pPr>
              <w:rPr>
                <w:highlight w:val="green"/>
                <w:lang w:eastAsia="ja-JP"/>
              </w:rPr>
            </w:pPr>
            <w:r>
              <w:rPr>
                <w:rFonts w:hint="eastAsia"/>
                <w:highlight w:val="gree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9"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9"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9"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green"/>
                <w:lang w:eastAsia="ja-JP"/>
              </w:rPr>
            </w:pPr>
            <w:r>
              <w:rPr>
                <w:rFonts w:hint="eastAsia"/>
                <w:highlight w:val="green"/>
              </w:rPr>
              <w:t>7.1</w:t>
            </w:r>
          </w:p>
        </w:tc>
        <w:tc>
          <w:tcPr>
            <w:tcW w:w="768" w:type="dxa"/>
            <w:shd w:val="clear" w:color="auto" w:fill="F2DCDC" w:themeFill="accent2" w:themeFillTint="32"/>
            <w:vAlign w:val="center"/>
          </w:tcPr>
          <w:p>
            <w:pPr>
              <w:rPr>
                <w:highlight w:val="green"/>
                <w:lang w:eastAsia="ja-JP"/>
              </w:rPr>
            </w:pPr>
            <w:r>
              <w:rPr>
                <w:rFonts w:hint="eastAsia"/>
                <w:highlight w:val="green"/>
              </w:rPr>
              <w:t>7.2</w:t>
            </w:r>
          </w:p>
        </w:tc>
        <w:tc>
          <w:tcPr>
            <w:tcW w:w="768" w:type="dxa"/>
            <w:shd w:val="clear" w:color="auto" w:fill="F2DCDC" w:themeFill="accent2" w:themeFillTint="32"/>
            <w:vAlign w:val="center"/>
          </w:tcPr>
          <w:p>
            <w:pPr>
              <w:rPr>
                <w:highlight w:val="green"/>
                <w:lang w:eastAsia="ja-JP"/>
              </w:rPr>
            </w:pPr>
            <w:r>
              <w:rPr>
                <w:rFonts w:hint="eastAsia"/>
                <w:highlight w:val="green"/>
              </w:rPr>
              <w:t>7.3</w:t>
            </w:r>
          </w:p>
        </w:tc>
        <w:tc>
          <w:tcPr>
            <w:tcW w:w="769" w:type="dxa"/>
            <w:shd w:val="clear" w:color="auto" w:fill="F2DCDC" w:themeFill="accent2" w:themeFillTint="32"/>
            <w:vAlign w:val="center"/>
          </w:tcPr>
          <w:p>
            <w:pPr>
              <w:rPr>
                <w:highlight w:val="green"/>
                <w:lang w:eastAsia="ja-JP"/>
              </w:rPr>
            </w:pPr>
            <w:r>
              <w:rPr>
                <w:rFonts w:hint="eastAsia"/>
                <w:highlight w:val="green"/>
              </w:rPr>
              <w:t>7.4</w:t>
            </w:r>
          </w:p>
        </w:tc>
        <w:tc>
          <w:tcPr>
            <w:tcW w:w="768" w:type="dxa"/>
            <w:shd w:val="clear" w:color="auto" w:fill="F2DCDC" w:themeFill="accent2" w:themeFillTint="32"/>
            <w:vAlign w:val="center"/>
          </w:tcPr>
          <w:p>
            <w:pPr>
              <w:rPr>
                <w:highlight w:val="green"/>
                <w:lang w:eastAsia="ja-JP"/>
              </w:rPr>
            </w:pPr>
            <w:r>
              <w:rPr>
                <w:rFonts w:hint="eastAsia"/>
                <w:highlight w:val="green"/>
              </w:rPr>
              <w:t>7.5</w:t>
            </w:r>
          </w:p>
        </w:tc>
        <w:tc>
          <w:tcPr>
            <w:tcW w:w="768" w:type="dxa"/>
            <w:shd w:val="clear" w:color="auto" w:fill="F2DCDC" w:themeFill="accent2" w:themeFillTint="32"/>
            <w:vAlign w:val="center"/>
          </w:tcPr>
          <w:p>
            <w:pPr>
              <w:rPr>
                <w:highlight w:val="green"/>
                <w:lang w:eastAsia="ja-JP"/>
              </w:rPr>
            </w:pPr>
            <w:r>
              <w:rPr>
                <w:rFonts w:hint="eastAsia"/>
                <w:highlight w:val="green"/>
              </w:rPr>
              <w:t>8.1</w:t>
            </w:r>
          </w:p>
        </w:tc>
        <w:tc>
          <w:tcPr>
            <w:tcW w:w="769" w:type="dxa"/>
            <w:shd w:val="clear" w:color="auto" w:fill="F2DCDC" w:themeFill="accent2" w:themeFillTint="32"/>
            <w:vAlign w:val="center"/>
          </w:tcPr>
          <w:p>
            <w:pPr>
              <w:rPr>
                <w:highlight w:val="green"/>
                <w:lang w:eastAsia="ja-JP"/>
              </w:rPr>
            </w:pPr>
            <w:r>
              <w:rPr>
                <w:rFonts w:hint="eastAsia"/>
                <w:highlight w:val="green"/>
              </w:rPr>
              <w:t>8.2</w:t>
            </w:r>
          </w:p>
        </w:tc>
        <w:tc>
          <w:tcPr>
            <w:tcW w:w="768" w:type="dxa"/>
            <w:shd w:val="clear" w:color="auto" w:fill="F2DCDC" w:themeFill="accent2" w:themeFillTint="32"/>
            <w:vAlign w:val="center"/>
          </w:tcPr>
          <w:p>
            <w:pPr>
              <w:rPr>
                <w:highlight w:val="green"/>
                <w:lang w:eastAsia="ja-JP"/>
              </w:rPr>
            </w:pPr>
            <w:r>
              <w:rPr>
                <w:rFonts w:hint="eastAsia"/>
                <w:highlight w:val="green"/>
              </w:rPr>
              <w:t>9.1</w:t>
            </w:r>
          </w:p>
        </w:tc>
        <w:tc>
          <w:tcPr>
            <w:tcW w:w="768" w:type="dxa"/>
            <w:shd w:val="clear" w:color="auto" w:fill="F2DCDC" w:themeFill="accent2" w:themeFillTint="32"/>
            <w:vAlign w:val="center"/>
          </w:tcPr>
          <w:p>
            <w:pPr>
              <w:rPr>
                <w:highlight w:val="green"/>
                <w:lang w:eastAsia="ja-JP"/>
              </w:rPr>
            </w:pPr>
            <w:r>
              <w:rPr>
                <w:rFonts w:hint="eastAsia"/>
                <w:highlight w:val="green"/>
              </w:rPr>
              <w:t>9.2</w:t>
            </w:r>
          </w:p>
        </w:tc>
        <w:tc>
          <w:tcPr>
            <w:tcW w:w="769" w:type="dxa"/>
            <w:shd w:val="clear" w:color="auto" w:fill="F2DCDC" w:themeFill="accent2" w:themeFillTint="32"/>
            <w:vAlign w:val="center"/>
          </w:tcPr>
          <w:p>
            <w:pPr>
              <w:rPr>
                <w:highlight w:val="green"/>
                <w:lang w:eastAsia="ja-JP"/>
              </w:rPr>
            </w:pPr>
            <w:r>
              <w:rPr>
                <w:rFonts w:hint="eastAsia"/>
                <w:highlight w:val="gree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2</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2</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2</w:t>
            </w:r>
          </w:p>
        </w:tc>
        <w:tc>
          <w:tcPr>
            <w:tcW w:w="769"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2</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2</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9"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9"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rFonts w:hint="eastAsia" w:eastAsia="宋体"/>
                <w:highlight w:val="green"/>
                <w:lang w:val="en-US" w:eastAsia="zh-CN"/>
              </w:rPr>
            </w:pPr>
          </w:p>
        </w:tc>
        <w:tc>
          <w:tcPr>
            <w:tcW w:w="768" w:type="dxa"/>
            <w:shd w:val="clear" w:color="auto" w:fill="F2DCDC" w:themeFill="accent2" w:themeFillTint="32"/>
            <w:vAlign w:val="center"/>
          </w:tcPr>
          <w:p>
            <w:pPr>
              <w:rPr>
                <w:highlight w:val="green"/>
                <w:lang w:eastAsia="ja-JP"/>
              </w:rPr>
            </w:pPr>
          </w:p>
        </w:tc>
        <w:tc>
          <w:tcPr>
            <w:tcW w:w="769" w:type="dxa"/>
            <w:tcBorders>
              <w:bottom w:val="single" w:color="auto" w:sz="4" w:space="0"/>
            </w:tcBorders>
            <w:shd w:val="clear" w:color="auto" w:fill="F2DCDC" w:themeFill="accent2" w:themeFillTint="32"/>
            <w:vAlign w:val="center"/>
          </w:tcPr>
          <w:p>
            <w:pPr>
              <w:rPr>
                <w:highlight w:val="green"/>
                <w:lang w:eastAsia="ja-JP"/>
              </w:rPr>
            </w:pPr>
          </w:p>
        </w:tc>
        <w:tc>
          <w:tcPr>
            <w:tcW w:w="768" w:type="dxa"/>
            <w:tcBorders>
              <w:bottom w:val="single" w:color="auto" w:sz="4" w:space="0"/>
            </w:tcBorders>
            <w:shd w:val="clear" w:color="auto" w:fill="F2DCDC" w:themeFill="accent2" w:themeFillTint="32"/>
            <w:vAlign w:val="center"/>
          </w:tcPr>
          <w:p>
            <w:pPr>
              <w:rPr>
                <w:highlight w:val="green"/>
                <w:lang w:eastAsia="ja-JP"/>
              </w:rPr>
            </w:pPr>
          </w:p>
        </w:tc>
        <w:tc>
          <w:tcPr>
            <w:tcW w:w="768" w:type="dxa"/>
            <w:tcBorders>
              <w:bottom w:val="single" w:color="auto" w:sz="4" w:space="0"/>
            </w:tcBorders>
            <w:shd w:val="clear" w:color="auto" w:fill="F2DCDC" w:themeFill="accent2" w:themeFillTint="32"/>
            <w:vAlign w:val="center"/>
          </w:tcPr>
          <w:p>
            <w:pPr>
              <w:rPr>
                <w:highlight w:val="green"/>
                <w:lang w:eastAsia="ja-JP"/>
              </w:rPr>
            </w:pPr>
          </w:p>
        </w:tc>
        <w:tc>
          <w:tcPr>
            <w:tcW w:w="769" w:type="dxa"/>
            <w:tcBorders>
              <w:bottom w:val="single" w:color="auto" w:sz="4" w:space="0"/>
            </w:tcBorders>
            <w:shd w:val="clear" w:color="auto" w:fill="F2DCDC" w:themeFill="accent2" w:themeFillTint="32"/>
            <w:vAlign w:val="center"/>
          </w:tcPr>
          <w:p>
            <w:pPr>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green"/>
                <w:lang w:eastAsia="ja-JP"/>
              </w:rPr>
            </w:pPr>
            <w:r>
              <w:rPr>
                <w:rFonts w:hint="eastAsia"/>
                <w:highlight w:val="green"/>
              </w:rPr>
              <w:t>10.1</w:t>
            </w:r>
          </w:p>
        </w:tc>
        <w:tc>
          <w:tcPr>
            <w:tcW w:w="768" w:type="dxa"/>
            <w:shd w:val="clear" w:color="auto" w:fill="F2DCDC" w:themeFill="accent2" w:themeFillTint="32"/>
            <w:vAlign w:val="center"/>
          </w:tcPr>
          <w:p>
            <w:pPr>
              <w:rPr>
                <w:highlight w:val="green"/>
                <w:lang w:eastAsia="ja-JP"/>
              </w:rPr>
            </w:pPr>
            <w:r>
              <w:rPr>
                <w:rFonts w:hint="eastAsia"/>
                <w:highlight w:val="green"/>
              </w:rPr>
              <w:t>10.2</w:t>
            </w:r>
          </w:p>
        </w:tc>
        <w:tc>
          <w:tcPr>
            <w:tcW w:w="768" w:type="dxa"/>
            <w:shd w:val="clear" w:color="auto" w:fill="F2DCDC" w:themeFill="accent2" w:themeFillTint="32"/>
            <w:vAlign w:val="center"/>
          </w:tcPr>
          <w:p>
            <w:pPr>
              <w:rPr>
                <w:highlight w:val="green"/>
                <w:lang w:eastAsia="ja-JP"/>
              </w:rPr>
            </w:pPr>
            <w:r>
              <w:rPr>
                <w:rFonts w:hint="eastAsia"/>
                <w:highlight w:val="green"/>
              </w:rPr>
              <w:t>10.3</w:t>
            </w: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8" w:type="dxa"/>
            <w:shd w:val="clear" w:color="auto" w:fill="F2DCDC" w:themeFill="accent2" w:themeFillTint="32"/>
            <w:vAlign w:val="center"/>
          </w:tcPr>
          <w:p>
            <w:pPr>
              <w:rPr>
                <w:rFonts w:hint="eastAsia" w:eastAsia="宋体"/>
                <w:highlight w:val="green"/>
                <w:lang w:val="en-US" w:eastAsia="zh-CN"/>
              </w:rPr>
            </w:pPr>
            <w:r>
              <w:rPr>
                <w:rFonts w:hint="eastAsia"/>
                <w:highlight w:val="green"/>
                <w:lang w:val="en-US" w:eastAsia="zh-CN"/>
              </w:rPr>
              <w:t>1</w:t>
            </w: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A23AC6"/>
    <w:rsid w:val="08570CB2"/>
    <w:rsid w:val="0C4F3798"/>
    <w:rsid w:val="19B558DD"/>
    <w:rsid w:val="26602B6D"/>
    <w:rsid w:val="4BC15012"/>
    <w:rsid w:val="4C133FD6"/>
    <w:rsid w:val="64B25F61"/>
    <w:rsid w:val="71942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18644</Words>
  <Characters>19377</Characters>
  <Lines>150</Lines>
  <Paragraphs>42</Paragraphs>
  <TotalTime>5</TotalTime>
  <ScaleCrop>false</ScaleCrop>
  <LinksUpToDate>false</LinksUpToDate>
  <CharactersWithSpaces>19498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2022-04-07T06:48:25Z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