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0149-2020-QEO-2022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重庆温馨源物业管理有限公司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重庆温馨源物业管理有限公司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重庆市九龙坡区锦龙路289号5幢</w:t>
            </w:r>
            <w:bookmarkEnd w:id="6"/>
          </w:p>
        </w:tc>
        <w:tc>
          <w:tcPr>
            <w:tcW w:w="1242" w:type="dxa"/>
            <w:vMerge w:val="restart"/>
            <w:vAlign w:val="center"/>
          </w:tcPr>
          <w:p>
            <w:r>
              <w:rPr>
                <w:rFonts w:hint="eastAsia"/>
              </w:rPr>
              <w:t>邮编</w:t>
            </w:r>
          </w:p>
        </w:tc>
        <w:tc>
          <w:tcPr>
            <w:tcW w:w="1771" w:type="dxa"/>
          </w:tcPr>
          <w:p>
            <w:bookmarkStart w:id="7" w:name="注册邮编"/>
            <w:r>
              <w:t>400053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重庆市九龙坡区锦龙路289号5幢</w:t>
            </w:r>
            <w:bookmarkEnd w:id="8"/>
          </w:p>
        </w:tc>
        <w:tc>
          <w:tcPr>
            <w:tcW w:w="1242" w:type="dxa"/>
            <w:vMerge w:val="continue"/>
            <w:vAlign w:val="center"/>
          </w:tcPr>
          <w:p/>
        </w:tc>
        <w:tc>
          <w:tcPr>
            <w:tcW w:w="1771" w:type="dxa"/>
          </w:tcPr>
          <w:p>
            <w:bookmarkStart w:id="9" w:name="办公邮编"/>
            <w:r>
              <w:t>400053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杜明</w:t>
            </w:r>
            <w:bookmarkEnd w:id="10"/>
          </w:p>
        </w:tc>
        <w:tc>
          <w:tcPr>
            <w:tcW w:w="1313" w:type="dxa"/>
            <w:vAlign w:val="center"/>
          </w:tcPr>
          <w:p>
            <w:r>
              <w:rPr>
                <w:rFonts w:hint="eastAsia"/>
              </w:rPr>
              <w:t>电话.</w:t>
            </w:r>
          </w:p>
        </w:tc>
        <w:tc>
          <w:tcPr>
            <w:tcW w:w="2180" w:type="dxa"/>
            <w:vAlign w:val="center"/>
          </w:tcPr>
          <w:p>
            <w:bookmarkStart w:id="11" w:name="联系人电话"/>
            <w:r>
              <w:t>023-68502272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pPr>
              <w:rPr>
                <w:rFonts w:hint="default" w:eastAsia="宋体"/>
                <w:lang w:val="en-US" w:eastAsia="zh-CN"/>
              </w:rPr>
            </w:pPr>
            <w:r>
              <w:rPr>
                <w:rFonts w:hint="eastAsia"/>
                <w:lang w:val="en-US" w:eastAsia="zh-CN"/>
              </w:rPr>
              <w:t>王晶</w:t>
            </w:r>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徐侨</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jc w:val="both"/>
              <w:rPr>
                <w:rFonts w:cs="黑体" w:asciiTheme="minorEastAsia" w:hAnsiTheme="minorEastAsia" w:eastAsiaTheme="minorEastAsia"/>
                <w:color w:val="auto"/>
                <w:szCs w:val="21"/>
              </w:rPr>
            </w:pPr>
            <w:r>
              <w:rPr>
                <w:rFonts w:hint="eastAsia"/>
              </w:rPr>
              <w:t>流程简图</w:t>
            </w:r>
            <w:r>
              <w:rPr>
                <w:rFonts w:hint="eastAsia"/>
                <w:lang w:eastAsia="zh-CN"/>
              </w:rPr>
              <w:t>：</w:t>
            </w:r>
            <w:r>
              <w:rPr>
                <w:rFonts w:hint="eastAsia" w:cs="黑体" w:asciiTheme="minorEastAsia" w:hAnsiTheme="minorEastAsia" w:eastAsiaTheme="minorEastAsia"/>
                <w:color w:val="auto"/>
                <w:szCs w:val="21"/>
              </w:rPr>
              <w:t>签订合同——确定物业管理服务区域——安排物业管理服务人员——分配物业管理区域——进行物业管理服务。</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2022年04月06日 上午至2022年04月06日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r>
              <w:rPr>
                <w:rFonts w:hint="eastAsia"/>
              </w:rPr>
              <w:t>二</w:t>
            </w:r>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重庆市九龙坡区锦龙路289号5幢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Q：物业管理</w:t>
            </w:r>
          </w:p>
          <w:p>
            <w:r>
              <w:t>E：物业管理所涉及的相关环境管理活动。</w:t>
            </w:r>
          </w:p>
          <w:p>
            <w:r>
              <w:t>O：物业管理所涉及的相关职业健康安全管理活动。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Q：35.15.00</w:t>
            </w:r>
          </w:p>
          <w:p>
            <w:r>
              <w:t>E：35.15.00</w:t>
            </w:r>
          </w:p>
          <w:p>
            <w:r>
              <w:t>O：35.15.00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cs="宋体"/>
                <w:color w:val="auto"/>
                <w:szCs w:val="21"/>
                <w:lang w:eastAsia="zh-CN"/>
              </w:rPr>
              <w:t>2022年1月5日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sz w:val="20"/>
              </w:rPr>
              <w:t>2021年05月12日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4</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21"/>
        <w:gridCol w:w="1700"/>
        <w:gridCol w:w="630"/>
        <w:gridCol w:w="2480"/>
        <w:gridCol w:w="174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21" w:type="dxa"/>
            <w:shd w:val="clear" w:color="auto" w:fill="F3F3F3"/>
            <w:tcMar>
              <w:left w:w="57" w:type="dxa"/>
              <w:right w:w="57" w:type="dxa"/>
            </w:tcMar>
          </w:tcPr>
          <w:p>
            <w:r>
              <w:rPr>
                <w:rFonts w:hint="eastAsia"/>
              </w:rPr>
              <w:t>组织名称及注册场所地址</w:t>
            </w:r>
          </w:p>
        </w:tc>
        <w:tc>
          <w:tcPr>
            <w:tcW w:w="1700" w:type="dxa"/>
            <w:shd w:val="clear" w:color="auto" w:fill="F3F3F3"/>
            <w:tcMar>
              <w:left w:w="57" w:type="dxa"/>
              <w:right w:w="57" w:type="dxa"/>
            </w:tcMar>
          </w:tcPr>
          <w:p>
            <w:r>
              <w:rPr>
                <w:rFonts w:hint="eastAsia"/>
              </w:rPr>
              <w:t>经营场所的地址</w:t>
            </w:r>
          </w:p>
          <w:p>
            <w:r>
              <w:rPr>
                <w:rFonts w:hint="eastAsia"/>
              </w:rPr>
              <w:t>（多现场和临时现场）</w:t>
            </w:r>
          </w:p>
        </w:tc>
        <w:tc>
          <w:tcPr>
            <w:tcW w:w="630" w:type="dxa"/>
            <w:shd w:val="clear" w:color="auto" w:fill="F3F3F3"/>
            <w:tcMar>
              <w:left w:w="57" w:type="dxa"/>
              <w:right w:w="57" w:type="dxa"/>
            </w:tcMar>
          </w:tcPr>
          <w:p>
            <w:r>
              <w:rPr>
                <w:rFonts w:hint="eastAsia"/>
              </w:rPr>
              <w:t>员工人数</w:t>
            </w:r>
          </w:p>
        </w:tc>
        <w:tc>
          <w:tcPr>
            <w:tcW w:w="2480" w:type="dxa"/>
            <w:shd w:val="clear" w:color="auto" w:fill="F3F3F3"/>
            <w:tcMar>
              <w:left w:w="57" w:type="dxa"/>
              <w:right w:w="57" w:type="dxa"/>
            </w:tcMar>
          </w:tcPr>
          <w:p>
            <w:r>
              <w:rPr>
                <w:rFonts w:hint="eastAsia"/>
              </w:rPr>
              <w:t>审核范围（产品和过程）</w:t>
            </w:r>
          </w:p>
          <w:p/>
          <w:p/>
        </w:tc>
        <w:tc>
          <w:tcPr>
            <w:tcW w:w="174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021" w:type="dxa"/>
          </w:tcPr>
          <w:p>
            <w:pPr>
              <w:rPr>
                <w:rFonts w:hint="eastAsia" w:eastAsia="宋体"/>
                <w:lang w:val="en-US" w:eastAsia="zh-CN"/>
              </w:rPr>
            </w:pPr>
            <w:r>
              <w:rPr>
                <w:sz w:val="21"/>
                <w:szCs w:val="21"/>
              </w:rPr>
              <w:t>重庆温馨源物业管理有限公司</w:t>
            </w:r>
            <w:r>
              <w:rPr>
                <w:rFonts w:hint="eastAsia"/>
                <w:sz w:val="21"/>
                <w:szCs w:val="21"/>
                <w:lang w:val="en-US" w:eastAsia="zh-CN"/>
              </w:rPr>
              <w:t>/</w:t>
            </w:r>
            <w:r>
              <w:rPr>
                <w:rFonts w:asciiTheme="minorEastAsia" w:hAnsiTheme="minorEastAsia" w:eastAsiaTheme="minorEastAsia"/>
                <w:sz w:val="20"/>
              </w:rPr>
              <w:t>重庆市九龙坡区锦龙路289号5幢</w:t>
            </w:r>
          </w:p>
        </w:tc>
        <w:tc>
          <w:tcPr>
            <w:tcW w:w="1700" w:type="dxa"/>
          </w:tcPr>
          <w:p>
            <w:pPr>
              <w:rPr>
                <w:lang w:val="de-DE" w:eastAsia="ja-JP"/>
              </w:rPr>
            </w:pPr>
            <w:r>
              <w:rPr>
                <w:rFonts w:asciiTheme="minorEastAsia" w:hAnsiTheme="minorEastAsia" w:eastAsiaTheme="minorEastAsia"/>
                <w:sz w:val="20"/>
              </w:rPr>
              <w:t>重庆市九龙坡区锦龙路289号5幢</w:t>
            </w:r>
          </w:p>
        </w:tc>
        <w:tc>
          <w:tcPr>
            <w:tcW w:w="630" w:type="dxa"/>
            <w:vAlign w:val="center"/>
          </w:tcPr>
          <w:p>
            <w:pPr>
              <w:rPr>
                <w:rFonts w:hint="default" w:eastAsia="宋体"/>
                <w:lang w:val="en-US" w:eastAsia="zh-CN"/>
              </w:rPr>
            </w:pPr>
            <w:r>
              <w:rPr>
                <w:rFonts w:hint="eastAsia"/>
                <w:lang w:val="en-US" w:eastAsia="zh-CN"/>
              </w:rPr>
              <w:t>25</w:t>
            </w:r>
          </w:p>
        </w:tc>
        <w:tc>
          <w:tcPr>
            <w:tcW w:w="2480" w:type="dxa"/>
            <w:vAlign w:val="center"/>
          </w:tcPr>
          <w:p>
            <w:pPr>
              <w:rPr>
                <w:sz w:val="20"/>
              </w:rPr>
            </w:pPr>
            <w:r>
              <w:rPr>
                <w:sz w:val="20"/>
              </w:rPr>
              <w:t>Q：物业管理</w:t>
            </w:r>
          </w:p>
          <w:p>
            <w:pPr>
              <w:rPr>
                <w:sz w:val="20"/>
              </w:rPr>
            </w:pPr>
            <w:r>
              <w:rPr>
                <w:sz w:val="20"/>
              </w:rPr>
              <w:t>E：物业管理所涉及的相关环境管理活动。</w:t>
            </w:r>
          </w:p>
          <w:p>
            <w:pPr>
              <w:rPr>
                <w:lang w:eastAsia="ja-JP"/>
              </w:rPr>
            </w:pPr>
            <w:r>
              <w:rPr>
                <w:sz w:val="20"/>
              </w:rPr>
              <w:t>O：物业管理所涉及的相关职业健康安全管理活动。</w:t>
            </w:r>
          </w:p>
        </w:tc>
        <w:tc>
          <w:tcPr>
            <w:tcW w:w="1746" w:type="dxa"/>
            <w:vAlign w:val="center"/>
          </w:tcPr>
          <w:p>
            <w:pPr>
              <w:pStyle w:val="22"/>
            </w:pPr>
            <w:r>
              <w:rPr>
                <w:rFonts w:hint="eastAsia"/>
              </w:rPr>
              <w:t xml:space="preserve">GB/T19001-2016 GB/T24001-2016 </w:t>
            </w:r>
          </w:p>
          <w:p>
            <w:pPr>
              <w:pStyle w:val="22"/>
              <w:rPr>
                <w:rFonts w:ascii="Times New Roman" w:hAnsi="Times New Roman" w:eastAsia="Times New Roman" w:cs="Times New Roman"/>
                <w:kern w:val="2"/>
                <w:sz w:val="20"/>
                <w:szCs w:val="20"/>
                <w:lang w:val="en-GB" w:eastAsia="ja-JP" w:bidi="ar-SA"/>
              </w:rPr>
            </w:pPr>
            <w:r>
              <w:rPr>
                <w:rFonts w:hint="eastAsia"/>
              </w:rPr>
              <w:t>GB/T 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21" w:type="dxa"/>
            <w:vAlign w:val="top"/>
          </w:tcPr>
          <w:p>
            <w:pPr>
              <w:rPr>
                <w:rFonts w:hint="eastAsia" w:ascii="Times New Roman" w:hAnsi="Times New Roman" w:eastAsia="宋体" w:cs="Times New Roman"/>
                <w:kern w:val="2"/>
                <w:sz w:val="21"/>
                <w:szCs w:val="24"/>
                <w:lang w:val="en-US" w:eastAsia="ja-JP" w:bidi="ar-SA"/>
              </w:rPr>
            </w:pPr>
            <w:r>
              <w:rPr>
                <w:sz w:val="21"/>
                <w:szCs w:val="21"/>
              </w:rPr>
              <w:t>重庆温馨源物业管理有限公司</w:t>
            </w:r>
            <w:r>
              <w:rPr>
                <w:rFonts w:hint="eastAsia"/>
                <w:sz w:val="21"/>
                <w:szCs w:val="21"/>
                <w:lang w:val="en-US" w:eastAsia="zh-CN"/>
              </w:rPr>
              <w:t>/</w:t>
            </w:r>
            <w:r>
              <w:rPr>
                <w:rFonts w:asciiTheme="minorEastAsia" w:hAnsiTheme="minorEastAsia" w:eastAsiaTheme="minorEastAsia"/>
                <w:sz w:val="20"/>
              </w:rPr>
              <w:t>重庆市九龙坡区锦龙路289号5幢</w:t>
            </w:r>
          </w:p>
        </w:tc>
        <w:tc>
          <w:tcPr>
            <w:tcW w:w="1700" w:type="dxa"/>
            <w:vAlign w:val="top"/>
          </w:tcPr>
          <w:p>
            <w:pPr>
              <w:rPr>
                <w:rFonts w:hint="default" w:ascii="Times New Roman" w:hAnsi="Times New Roman" w:eastAsia="宋体" w:cs="Times New Roman"/>
                <w:kern w:val="2"/>
                <w:sz w:val="21"/>
                <w:szCs w:val="24"/>
                <w:lang w:val="en-US" w:eastAsia="ja-JP" w:bidi="ar-SA"/>
              </w:rPr>
            </w:pPr>
            <w:r>
              <w:rPr>
                <w:color w:val="auto"/>
                <w:highlight w:val="none"/>
              </w:rPr>
              <w:t>重庆市九龙坡区锦龙路</w:t>
            </w:r>
            <w:r>
              <w:rPr>
                <w:rFonts w:hint="eastAsia"/>
                <w:color w:val="auto"/>
                <w:highlight w:val="none"/>
              </w:rPr>
              <w:t>青国青城</w:t>
            </w:r>
            <w:r>
              <w:rPr>
                <w:rFonts w:hint="eastAsia"/>
                <w:color w:val="auto"/>
                <w:highlight w:val="none"/>
                <w:lang w:val="en-US" w:eastAsia="zh-CN"/>
              </w:rPr>
              <w:t>小区(临时场所)</w:t>
            </w:r>
          </w:p>
        </w:tc>
        <w:tc>
          <w:tcPr>
            <w:tcW w:w="630" w:type="dxa"/>
            <w:vAlign w:val="center"/>
          </w:tcPr>
          <w:p>
            <w:pPr>
              <w:rPr>
                <w:rFonts w:hint="default" w:eastAsia="宋体"/>
                <w:lang w:val="en-US" w:eastAsia="zh-CN"/>
              </w:rPr>
            </w:pPr>
            <w:r>
              <w:rPr>
                <w:rFonts w:hint="eastAsia"/>
                <w:lang w:val="en-US" w:eastAsia="zh-CN"/>
              </w:rPr>
              <w:t>20</w:t>
            </w:r>
          </w:p>
        </w:tc>
        <w:tc>
          <w:tcPr>
            <w:tcW w:w="2480" w:type="dxa"/>
            <w:vAlign w:val="center"/>
          </w:tcPr>
          <w:p>
            <w:pPr>
              <w:rPr>
                <w:sz w:val="20"/>
              </w:rPr>
            </w:pPr>
            <w:r>
              <w:rPr>
                <w:sz w:val="20"/>
              </w:rPr>
              <w:t>Q：物业管理</w:t>
            </w:r>
          </w:p>
          <w:p>
            <w:pPr>
              <w:rPr>
                <w:sz w:val="20"/>
              </w:rPr>
            </w:pPr>
            <w:r>
              <w:rPr>
                <w:sz w:val="20"/>
              </w:rPr>
              <w:t>E：物业管理所涉及的相关环境管理活动。</w:t>
            </w:r>
          </w:p>
          <w:p>
            <w:pPr>
              <w:rPr>
                <w:lang w:eastAsia="ja-JP"/>
              </w:rPr>
            </w:pPr>
            <w:r>
              <w:rPr>
                <w:sz w:val="20"/>
              </w:rPr>
              <w:t>O：物业管理所涉及的相关职业健康安全管理活动。</w:t>
            </w:r>
          </w:p>
        </w:tc>
        <w:tc>
          <w:tcPr>
            <w:tcW w:w="1746" w:type="dxa"/>
            <w:vAlign w:val="center"/>
          </w:tcPr>
          <w:p>
            <w:pPr>
              <w:pStyle w:val="22"/>
            </w:pPr>
            <w:r>
              <w:rPr>
                <w:rFonts w:hint="eastAsia"/>
              </w:rPr>
              <w:t xml:space="preserve">GB/T19001-2016 GB/T24001-2016 </w:t>
            </w:r>
          </w:p>
          <w:p>
            <w:pPr>
              <w:pStyle w:val="22"/>
              <w:rPr>
                <w:rFonts w:ascii="Times New Roman" w:hAnsi="Times New Roman" w:eastAsia="Times New Roman" w:cs="Times New Roman"/>
                <w:kern w:val="2"/>
                <w:sz w:val="20"/>
                <w:szCs w:val="20"/>
                <w:lang w:val="en-GB" w:eastAsia="ja-JP" w:bidi="ar-SA"/>
              </w:rPr>
            </w:pPr>
            <w:r>
              <w:rPr>
                <w:rFonts w:hint="eastAsia"/>
              </w:rPr>
              <w:t>GB/T 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21" w:type="dxa"/>
            <w:vAlign w:val="center"/>
          </w:tcPr>
          <w:p>
            <w:pPr>
              <w:rPr>
                <w:lang w:eastAsia="ja-JP"/>
              </w:rPr>
            </w:pPr>
          </w:p>
        </w:tc>
        <w:tc>
          <w:tcPr>
            <w:tcW w:w="1700" w:type="dxa"/>
            <w:vAlign w:val="center"/>
          </w:tcPr>
          <w:p>
            <w:pPr>
              <w:rPr>
                <w:lang w:eastAsia="ja-JP"/>
              </w:rPr>
            </w:pPr>
          </w:p>
        </w:tc>
        <w:tc>
          <w:tcPr>
            <w:tcW w:w="630" w:type="dxa"/>
            <w:vAlign w:val="center"/>
          </w:tcPr>
          <w:p>
            <w:pPr>
              <w:rPr>
                <w:lang w:eastAsia="ja-JP"/>
              </w:rPr>
            </w:pPr>
          </w:p>
        </w:tc>
        <w:tc>
          <w:tcPr>
            <w:tcW w:w="2480" w:type="dxa"/>
            <w:vAlign w:val="center"/>
          </w:tcPr>
          <w:p>
            <w:pPr>
              <w:rPr>
                <w:lang w:eastAsia="ja-JP"/>
              </w:rPr>
            </w:pPr>
          </w:p>
        </w:tc>
        <w:tc>
          <w:tcPr>
            <w:tcW w:w="174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021" w:type="dxa"/>
            <w:vAlign w:val="center"/>
          </w:tcPr>
          <w:p>
            <w:pPr>
              <w:rPr>
                <w:lang w:eastAsia="ja-JP"/>
              </w:rPr>
            </w:pPr>
          </w:p>
        </w:tc>
        <w:tc>
          <w:tcPr>
            <w:tcW w:w="1700" w:type="dxa"/>
            <w:vAlign w:val="center"/>
          </w:tcPr>
          <w:p>
            <w:pPr>
              <w:rPr>
                <w:lang w:eastAsia="ja-JP"/>
              </w:rPr>
            </w:pPr>
          </w:p>
        </w:tc>
        <w:tc>
          <w:tcPr>
            <w:tcW w:w="630" w:type="dxa"/>
            <w:vAlign w:val="center"/>
          </w:tcPr>
          <w:p>
            <w:pPr>
              <w:rPr>
                <w:lang w:eastAsia="ja-JP"/>
              </w:rPr>
            </w:pPr>
          </w:p>
        </w:tc>
        <w:tc>
          <w:tcPr>
            <w:tcW w:w="2480" w:type="dxa"/>
            <w:vAlign w:val="center"/>
          </w:tcPr>
          <w:p>
            <w:pPr>
              <w:rPr>
                <w:lang w:eastAsia="ja-JP"/>
              </w:rPr>
            </w:pPr>
          </w:p>
        </w:tc>
        <w:tc>
          <w:tcPr>
            <w:tcW w:w="174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021" w:type="dxa"/>
            <w:vAlign w:val="center"/>
          </w:tcPr>
          <w:p>
            <w:pPr>
              <w:rPr>
                <w:lang w:eastAsia="ja-JP"/>
              </w:rPr>
            </w:pPr>
          </w:p>
        </w:tc>
        <w:tc>
          <w:tcPr>
            <w:tcW w:w="1700" w:type="dxa"/>
            <w:vAlign w:val="center"/>
          </w:tcPr>
          <w:p>
            <w:pPr>
              <w:rPr>
                <w:lang w:eastAsia="ja-JP"/>
              </w:rPr>
            </w:pPr>
          </w:p>
        </w:tc>
        <w:tc>
          <w:tcPr>
            <w:tcW w:w="630" w:type="dxa"/>
            <w:vAlign w:val="center"/>
          </w:tcPr>
          <w:p>
            <w:pPr>
              <w:rPr>
                <w:lang w:eastAsia="ja-JP"/>
              </w:rPr>
            </w:pPr>
          </w:p>
        </w:tc>
        <w:tc>
          <w:tcPr>
            <w:tcW w:w="2480" w:type="dxa"/>
            <w:vAlign w:val="center"/>
          </w:tcPr>
          <w:p>
            <w:pPr>
              <w:rPr>
                <w:lang w:eastAsia="ja-JP"/>
              </w:rPr>
            </w:pPr>
          </w:p>
        </w:tc>
        <w:tc>
          <w:tcPr>
            <w:tcW w:w="174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cs="宋体"/>
        </w:rPr>
        <w:t>■</w:t>
      </w:r>
      <w:r>
        <w:rPr>
          <w:rFonts w:hint="eastAsia"/>
        </w:rPr>
        <w:t>QMS □EcMS</w:t>
      </w:r>
      <w:r>
        <w:rPr>
          <w:rFonts w:hint="eastAsia" w:ascii="宋体" w:hAnsi="宋体" w:cs="宋体"/>
        </w:rPr>
        <w:t>■</w:t>
      </w:r>
      <w:r>
        <w:rPr>
          <w:rFonts w:hint="eastAsia"/>
        </w:rPr>
        <w:t>EMS</w:t>
      </w:r>
      <w:r>
        <w:rPr>
          <w:rFonts w:hint="eastAsia" w:ascii="宋体" w:hAnsi="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w:t>
            </w:r>
            <w:r>
              <w:rPr>
                <w:rFonts w:hint="eastAsia"/>
                <w:lang w:eastAsia="zh-CN"/>
              </w:rPr>
              <w:t>■定期（近一年）</w:t>
            </w:r>
            <w:r>
              <w:rPr>
                <w:rFonts w:hint="eastAsia"/>
              </w:rPr>
              <w:t>□其他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rPr>
              <w:t>上次不符合</w:t>
            </w:r>
            <w:r>
              <w:rPr>
                <w:rFonts w:hint="eastAsia"/>
                <w:lang w:val="en-US" w:eastAsia="zh-CN"/>
              </w:rPr>
              <w:t>为</w:t>
            </w:r>
            <w:r>
              <w:rPr>
                <w:rFonts w:hint="eastAsia"/>
                <w:color w:val="auto"/>
                <w:szCs w:val="22"/>
              </w:rPr>
              <w:t>项目部Q8.5.1条款</w:t>
            </w:r>
            <w:r>
              <w:rPr>
                <w:rFonts w:hint="eastAsia"/>
                <w:color w:val="auto"/>
                <w:szCs w:val="22"/>
                <w:lang w:eastAsia="zh-CN"/>
              </w:rPr>
              <w:t>，</w:t>
            </w:r>
            <w:r>
              <w:rPr>
                <w:rFonts w:hint="eastAsia"/>
              </w:rPr>
              <w:t>经本次现场审核验证，无类似情况发生，整改有效。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sz w:val="20"/>
              </w:rPr>
              <w:t>物业管理所涉及的相关环境管理活动。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sz w:val="20"/>
              </w:rPr>
              <w:t>物业管理所涉及的相关职业健康安全管理活动。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355600</wp:posOffset>
                  </wp:positionH>
                  <wp:positionV relativeFrom="paragraph">
                    <wp:posOffset>19050</wp:posOffset>
                  </wp:positionV>
                  <wp:extent cx="373380" cy="407035"/>
                  <wp:effectExtent l="0" t="0" r="7620" b="12065"/>
                  <wp:wrapNone/>
                  <wp:docPr id="1"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png"/>
                          <pic:cNvPicPr>
                            <a:picLocks noChangeAspect="1"/>
                          </pic:cNvPicPr>
                        </pic:nvPicPr>
                        <pic:blipFill>
                          <a:blip r:embed="rId6"/>
                          <a:stretch>
                            <a:fillRect/>
                          </a:stretch>
                        </pic:blipFill>
                        <pic:spPr>
                          <a:xfrm>
                            <a:off x="0" y="0"/>
                            <a:ext cx="373380" cy="407035"/>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2022年4月6日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■定期（近一年）</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w:t>
            </w:r>
            <w:r>
              <w:rPr>
                <w:rFonts w:hint="eastAsia" w:ascii="宋体" w:hAnsi="宋体" w:cs="宋体"/>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color w:val="auto"/>
              </w:rPr>
              <w:t>保洁、绿化、化粪池清掏、电梯维保、消防设施维保</w:t>
            </w:r>
          </w:p>
          <w:p>
            <w:pPr>
              <w:shd w:val="clear" w:color="auto" w:fill="C7DAF1" w:themeFill="text2" w:themeFillTint="32"/>
              <w:spacing w:before="40" w:after="40"/>
            </w:pPr>
            <w:r>
              <w:rPr>
                <w:rFonts w:hint="eastAsia"/>
              </w:rPr>
              <w:t>□新产品设计开发□原材料订制</w:t>
            </w:r>
            <w:r>
              <w:rPr>
                <w:rFonts w:hint="eastAsia" w:ascii="宋体" w:hAnsi="宋体" w:eastAsia="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u w:val="single"/>
                <w:lang w:val="en-GB" w:eastAsia="zh-CN"/>
              </w:rPr>
            </w:pPr>
            <w:r>
              <w:rPr>
                <w:rFonts w:hint="eastAsia"/>
                <w:lang w:val="en-GB"/>
              </w:rPr>
              <w:t>最高管理者制定了文件化的管理体系方针：</w:t>
            </w:r>
            <w:r>
              <w:rPr>
                <w:rFonts w:hint="eastAsia"/>
                <w:u w:val="single"/>
                <w:lang w:val="en-GB" w:eastAsia="zh-CN"/>
              </w:rPr>
              <w:t>科学领先，顾客满意，持续改进，行业领先，质量一流，服务一流。</w:t>
            </w:r>
            <w:r>
              <w:rPr>
                <w:rFonts w:hint="eastAsia" w:ascii="宋体" w:hAnsi="宋体" w:cs="宋体"/>
                <w:color w:val="auto"/>
                <w:szCs w:val="21"/>
                <w:u w:val="single"/>
              </w:rPr>
              <w:t>预防为主，遵规守法，确保环境安全；以人为本，持续改进，实现平安和谐</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主要职能部门按照要求加强所在地法律法规政策的收集评价。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公司服务不及时，顾客埋怨投诉较多，导致客户流失风险</w:t>
                  </w:r>
                </w:p>
              </w:tc>
              <w:tc>
                <w:tcPr>
                  <w:tcW w:w="3965" w:type="dxa"/>
                </w:tcPr>
                <w:p>
                  <w:pPr>
                    <w:shd w:val="clear" w:color="auto" w:fill="C7DAF1" w:themeFill="text2" w:themeFillTint="32"/>
                  </w:pPr>
                  <w:r>
                    <w:rPr>
                      <w:rFonts w:hint="eastAsia" w:ascii="宋体" w:hAnsi="宋体" w:cs="宋体"/>
                      <w:szCs w:val="21"/>
                    </w:rPr>
                    <w:t>市场部和保洁部要严格按照作业计划实施服务，提高客户满意度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人员能力不满足生产技术的发展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采购成本增加，使公司的服务不具备竞争能力</w:t>
                  </w:r>
                </w:p>
              </w:tc>
              <w:tc>
                <w:tcPr>
                  <w:tcW w:w="3965"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3109"/>
              <w:gridCol w:w="117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0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80" w:lineRule="exact"/>
                    <w:rPr>
                      <w:rFonts w:ascii="宋体" w:hAnsi="宋体"/>
                      <w:highlight w:val="none"/>
                    </w:rPr>
                  </w:pPr>
                  <w:r>
                    <w:rPr>
                      <w:rFonts w:hint="eastAsia" w:ascii="宋体" w:hAnsi="宋体"/>
                      <w:sz w:val="18"/>
                      <w:szCs w:val="18"/>
                      <w:highlight w:val="none"/>
                    </w:rPr>
                    <w:t>合同履行率100%</w:t>
                  </w:r>
                </w:p>
              </w:tc>
              <w:tc>
                <w:tcPr>
                  <w:tcW w:w="3109" w:type="dxa"/>
                  <w:shd w:val="clear" w:color="auto" w:fill="auto"/>
                  <w:vAlign w:val="center"/>
                </w:tcPr>
                <w:p>
                  <w:pPr>
                    <w:widowControl/>
                    <w:tabs>
                      <w:tab w:val="left" w:pos="540"/>
                    </w:tabs>
                    <w:spacing w:line="240" w:lineRule="exact"/>
                    <w:jc w:val="left"/>
                    <w:textAlignment w:val="center"/>
                    <w:rPr>
                      <w:rFonts w:ascii="宋体" w:hAnsi="宋体"/>
                      <w:highlight w:val="none"/>
                    </w:rPr>
                  </w:pPr>
                  <w:r>
                    <w:rPr>
                      <w:rFonts w:hint="eastAsia" w:ascii="宋体" w:hAnsi="宋体"/>
                      <w:highlight w:val="none"/>
                      <w:lang w:val="en-US" w:eastAsia="zh-CN"/>
                    </w:rPr>
                    <w:t>签订合同</w:t>
                  </w:r>
                  <w:r>
                    <w:rPr>
                      <w:rFonts w:hint="eastAsia" w:ascii="宋体" w:hAnsi="宋体"/>
                      <w:highlight w:val="none"/>
                    </w:rPr>
                    <w:t>数/</w:t>
                  </w:r>
                  <w:r>
                    <w:rPr>
                      <w:rFonts w:hint="eastAsia" w:ascii="宋体" w:hAnsi="宋体"/>
                      <w:highlight w:val="none"/>
                      <w:lang w:val="en-US" w:eastAsia="zh-CN"/>
                    </w:rPr>
                    <w:t>履行合同</w:t>
                  </w:r>
                  <w:r>
                    <w:rPr>
                      <w:rFonts w:hint="eastAsia" w:ascii="宋体" w:hAnsi="宋体"/>
                      <w:highlight w:val="none"/>
                    </w:rPr>
                    <w:t>数*100%</w:t>
                  </w:r>
                </w:p>
              </w:tc>
              <w:tc>
                <w:tcPr>
                  <w:tcW w:w="1179" w:type="dxa"/>
                  <w:shd w:val="clear" w:color="auto" w:fill="auto"/>
                  <w:vAlign w:val="center"/>
                </w:tcPr>
                <w:p>
                  <w:pPr>
                    <w:widowControl/>
                    <w:spacing w:line="240" w:lineRule="exact"/>
                    <w:jc w:val="left"/>
                    <w:textAlignment w:val="center"/>
                    <w:rPr>
                      <w:rFonts w:ascii="宋体" w:hAnsi="宋体"/>
                      <w:highlight w:val="red"/>
                    </w:rPr>
                  </w:pPr>
                  <w:r>
                    <w:rPr>
                      <w:rFonts w:hint="eastAsia" w:ascii="宋体" w:hAnsi="宋体"/>
                      <w:sz w:val="18"/>
                      <w:szCs w:val="18"/>
                    </w:rPr>
                    <w:t>行政部</w:t>
                  </w:r>
                </w:p>
              </w:tc>
              <w:tc>
                <w:tcPr>
                  <w:tcW w:w="1682" w:type="dxa"/>
                  <w:shd w:val="clear" w:color="auto" w:fill="auto"/>
                  <w:vAlign w:val="center"/>
                </w:tcPr>
                <w:p>
                  <w:pPr>
                    <w:rPr>
                      <w:rFonts w:ascii="宋体" w:hAnsi="宋体"/>
                      <w:highlight w:val="red"/>
                    </w:rPr>
                  </w:pPr>
                  <w:r>
                    <w:rPr>
                      <w:rFonts w:hint="eastAsia" w:ascii="宋体" w:hAnsi="宋体"/>
                      <w:sz w:val="18"/>
                      <w:szCs w:val="18"/>
                    </w:rPr>
                    <w:t>合同履行率100%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spacing w:line="380" w:lineRule="exact"/>
                    <w:rPr>
                      <w:rFonts w:ascii="宋体" w:hAnsi="宋体"/>
                      <w:highlight w:val="none"/>
                    </w:rPr>
                  </w:pPr>
                  <w:r>
                    <w:rPr>
                      <w:rFonts w:hint="eastAsia"/>
                      <w:sz w:val="18"/>
                      <w:highlight w:val="none"/>
                    </w:rPr>
                    <w:t>顾客满意度≥90分</w:t>
                  </w:r>
                </w:p>
              </w:tc>
              <w:tc>
                <w:tcPr>
                  <w:tcW w:w="3109" w:type="dxa"/>
                  <w:shd w:val="clear" w:color="auto" w:fill="auto"/>
                  <w:vAlign w:val="center"/>
                </w:tcPr>
                <w:p>
                  <w:pPr>
                    <w:widowControl/>
                    <w:tabs>
                      <w:tab w:val="left" w:pos="540"/>
                    </w:tabs>
                    <w:spacing w:line="240" w:lineRule="exact"/>
                    <w:jc w:val="left"/>
                    <w:textAlignment w:val="center"/>
                    <w:rPr>
                      <w:rFonts w:ascii="宋体" w:hAnsi="宋体"/>
                      <w:highlight w:val="none"/>
                    </w:rPr>
                  </w:pPr>
                  <w:r>
                    <w:rPr>
                      <w:rFonts w:hint="eastAsia" w:ascii="宋体" w:hAnsi="宋体"/>
                      <w:highlight w:val="none"/>
                    </w:rPr>
                    <w:t>满意度=客户打分总分数÷调查客户数量*100%；</w:t>
                  </w:r>
                </w:p>
              </w:tc>
              <w:tc>
                <w:tcPr>
                  <w:tcW w:w="1179" w:type="dxa"/>
                  <w:shd w:val="clear" w:color="auto" w:fill="auto"/>
                  <w:vAlign w:val="center"/>
                </w:tcPr>
                <w:p>
                  <w:pPr>
                    <w:widowControl/>
                    <w:spacing w:line="240" w:lineRule="exact"/>
                    <w:jc w:val="left"/>
                    <w:textAlignment w:val="center"/>
                    <w:rPr>
                      <w:rFonts w:ascii="宋体" w:hAnsi="宋体"/>
                      <w:highlight w:val="red"/>
                    </w:rPr>
                  </w:pPr>
                  <w:r>
                    <w:rPr>
                      <w:rFonts w:hint="eastAsia" w:ascii="宋体" w:hAnsi="宋体"/>
                      <w:sz w:val="18"/>
                      <w:szCs w:val="18"/>
                    </w:rPr>
                    <w:t>行政部</w:t>
                  </w:r>
                </w:p>
              </w:tc>
              <w:tc>
                <w:tcPr>
                  <w:tcW w:w="1682" w:type="dxa"/>
                  <w:shd w:val="clear" w:color="auto" w:fill="auto"/>
                  <w:vAlign w:val="center"/>
                </w:tcPr>
                <w:p>
                  <w:pPr>
                    <w:rPr>
                      <w:rFonts w:ascii="宋体" w:hAnsi="宋体"/>
                      <w:highlight w:val="red"/>
                    </w:rPr>
                  </w:pPr>
                  <w:r>
                    <w:rPr>
                      <w:rFonts w:hint="eastAsia"/>
                      <w:sz w:val="18"/>
                    </w:rPr>
                    <w:t>顾客满意度已达96分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ascii="宋体" w:hAnsi="宋体"/>
                      <w:highlight w:val="red"/>
                    </w:rPr>
                  </w:pPr>
                </w:p>
              </w:tc>
              <w:tc>
                <w:tcPr>
                  <w:tcW w:w="3109" w:type="dxa"/>
                  <w:shd w:val="clear" w:color="auto" w:fill="auto"/>
                  <w:vAlign w:val="center"/>
                </w:tcPr>
                <w:p>
                  <w:pPr>
                    <w:widowControl/>
                    <w:tabs>
                      <w:tab w:val="left" w:pos="540"/>
                    </w:tabs>
                    <w:spacing w:line="240" w:lineRule="exact"/>
                    <w:jc w:val="left"/>
                    <w:textAlignment w:val="center"/>
                    <w:rPr>
                      <w:rFonts w:ascii="宋体" w:hAnsi="宋体"/>
                      <w:highlight w:val="red"/>
                    </w:rPr>
                  </w:pPr>
                </w:p>
              </w:tc>
              <w:tc>
                <w:tcPr>
                  <w:tcW w:w="1179" w:type="dxa"/>
                  <w:shd w:val="clear" w:color="auto" w:fill="auto"/>
                  <w:vAlign w:val="center"/>
                </w:tcPr>
                <w:p>
                  <w:pPr>
                    <w:widowControl/>
                    <w:tabs>
                      <w:tab w:val="left" w:pos="540"/>
                    </w:tabs>
                    <w:spacing w:line="240" w:lineRule="exact"/>
                    <w:jc w:val="left"/>
                    <w:textAlignment w:val="center"/>
                    <w:rPr>
                      <w:rFonts w:ascii="宋体" w:hAnsi="宋体"/>
                      <w:highlight w:val="red"/>
                    </w:rPr>
                  </w:pPr>
                </w:p>
              </w:tc>
              <w:tc>
                <w:tcPr>
                  <w:tcW w:w="1682" w:type="dxa"/>
                  <w:shd w:val="clear" w:color="auto" w:fill="auto"/>
                  <w:vAlign w:val="center"/>
                </w:tcPr>
                <w:p>
                  <w:pPr>
                    <w:jc w:val="center"/>
                    <w:rPr>
                      <w:rFonts w:ascii="宋体" w:hAnsi="宋体"/>
                      <w:highlight w:val="red"/>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color w:val="FF0000"/>
              </w:rPr>
            </w:pPr>
            <w:r>
              <w:rPr>
                <w:rFonts w:hint="eastAsia"/>
              </w:rPr>
              <w:t>□主要设备设施□主要检测设备□其他体系人数变更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cs="宋体"/>
              </w:rPr>
            </w:pPr>
            <w:r>
              <w:rPr>
                <w:rFonts w:hint="eastAsia"/>
              </w:rPr>
              <w:t>办</w:t>
            </w:r>
            <w:r>
              <w:rPr>
                <w:rFonts w:hint="eastAsia" w:cs="宋体"/>
              </w:rPr>
              <w:t>公场所共约</w:t>
            </w:r>
            <w:r>
              <w:rPr>
                <w:rFonts w:hint="eastAsia" w:cs="宋体"/>
                <w:lang w:eastAsia="zh-CN"/>
              </w:rPr>
              <w:t>300平方米</w:t>
            </w:r>
            <w:r>
              <w:rPr>
                <w:rFonts w:hint="eastAsia" w:cs="宋体"/>
              </w:rPr>
              <w:t>；临时场所1个；库房 1  个；实验室   个；</w:t>
            </w:r>
          </w:p>
          <w:p>
            <w:pPr>
              <w:rPr>
                <w:rFonts w:cs="宋体"/>
                <w:u w:val="single"/>
              </w:rPr>
            </w:pPr>
            <w:r>
              <w:rPr>
                <w:rFonts w:hint="eastAsia" w:cs="宋体"/>
              </w:rPr>
              <w:t>主要生产设备有：</w:t>
            </w:r>
            <w:r>
              <w:rPr>
                <w:rFonts w:hint="eastAsia" w:cs="宋体"/>
                <w:u w:val="single"/>
                <w:lang w:eastAsia="zh-CN"/>
              </w:rPr>
              <w:t>电脑、打印机、门位岗亭、对讲机、保安服、消防栓、灭火器、手电等，工程维修维护配置了维修工具(万用表、电工刀、螺丝刀、夹线钳等</w:t>
            </w:r>
            <w:r>
              <w:rPr>
                <w:rFonts w:hint="eastAsia" w:cs="宋体"/>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宋体" w:hAnsi="宋体" w:cs="宋体"/>
                <w:lang w:eastAsia="zh-CN"/>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2" w:char="00A3"/>
            </w:r>
            <w:r>
              <w:rPr>
                <w:rFonts w:hint="eastAsia"/>
              </w:rPr>
              <w:t>不适用</w:t>
            </w:r>
          </w:p>
          <w:p>
            <w:pPr>
              <w:shd w:val="clear" w:color="auto" w:fill="C7DAF1" w:themeFill="text2" w:themeFillTint="32"/>
              <w:rPr>
                <w:color w:val="000000" w:themeColor="text1"/>
                <w:u w:val="single"/>
              </w:rPr>
            </w:pPr>
            <w:r>
              <w:rPr>
                <w:rFonts w:hint="eastAsia"/>
                <w:color w:val="000000" w:themeColor="text1"/>
              </w:rPr>
              <w:t>特种设备管理：</w:t>
            </w:r>
            <w:r>
              <w:rPr>
                <w:rFonts w:hint="eastAsia" w:ascii="宋体" w:hAnsi="宋体" w:eastAsia="宋体" w:cs="宋体"/>
                <w:color w:val="000000" w:themeColor="text1"/>
              </w:rPr>
              <w:t>■</w:t>
            </w:r>
            <w:r>
              <w:rPr>
                <w:rFonts w:hint="eastAsia"/>
                <w:color w:val="000000" w:themeColor="text1"/>
              </w:rPr>
              <w:t>进行了定期检验□未进行定期检验的有：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ascii="Wingdings" w:hAnsi="Wingdings"/>
              </w:rPr>
              <w:t>计量器具</w:t>
            </w:r>
            <w:r>
              <w:rPr>
                <w:rFonts w:hint="eastAsia"/>
              </w:rPr>
              <w:t xml:space="preserve">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宋体" w:hAnsi="宋体" w:eastAsia="宋体" w:cs="宋体"/>
              </w:rPr>
              <w:t>■</w:t>
            </w:r>
            <w:r>
              <w:rPr>
                <w:rFonts w:hint="eastAsia" w:ascii="Wingdings" w:hAnsi="Wingdings"/>
              </w:rPr>
              <w:t>外校</w:t>
            </w:r>
          </w:p>
          <w:p>
            <w:pPr>
              <w:shd w:val="clear" w:color="auto" w:fill="C7DAF1" w:themeFill="text2" w:themeFillTint="32"/>
              <w:rPr>
                <w:rFonts w:ascii="宋体" w:hAnsi="宋体" w:cs="宋体"/>
                <w:color w:val="000000" w:themeColor="text1"/>
                <w:szCs w:val="21"/>
                <w:u w:val="single"/>
              </w:rPr>
            </w:pPr>
            <w:r>
              <w:rPr>
                <w:rFonts w:hint="eastAsia"/>
              </w:rPr>
              <w:t>国家强检的计量器具有：</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u w:val="single"/>
                <w:lang w:val="en-US" w:eastAsia="zh-CN"/>
              </w:rPr>
              <w:t>万用表</w:t>
            </w:r>
            <w:r>
              <w:rPr>
                <w:rFonts w:hint="eastAsia" w:ascii="宋体" w:hAnsi="宋体" w:cs="宋体"/>
                <w:color w:val="000000" w:themeColor="text1"/>
                <w:szCs w:val="21"/>
                <w:u w:val="single"/>
              </w:rPr>
              <w:t xml:space="preserve">         。</w:t>
            </w:r>
          </w:p>
          <w:p>
            <w:pPr>
              <w:shd w:val="clear" w:color="auto" w:fill="C7DAF1" w:themeFill="text2" w:themeFillTint="32"/>
              <w:rPr>
                <w:u w:val="single"/>
              </w:rPr>
            </w:pPr>
            <w:r>
              <w:rPr>
                <w:rFonts w:hint="eastAsia"/>
                <w:color w:val="000000" w:themeColor="text1"/>
              </w:rPr>
              <w:t>计量器具管理：</w:t>
            </w:r>
            <w:r>
              <w:rPr>
                <w:rFonts w:hint="eastAsia" w:ascii="宋体" w:hAnsi="宋体" w:eastAsia="宋体" w:cs="宋体"/>
              </w:rPr>
              <w:t>■</w:t>
            </w:r>
            <w:r>
              <w:rPr>
                <w:rFonts w:hint="eastAsia"/>
                <w:color w:val="000000" w:themeColor="text1"/>
              </w:rPr>
              <w:t>进行了定期校准/检定</w:t>
            </w:r>
            <w:r>
              <w:rPr>
                <w:rFonts w:hint="eastAsia"/>
              </w:rPr>
              <w:t xml:space="preserve">  </w:t>
            </w:r>
            <w:r>
              <w:rPr>
                <w:rFonts w:hint="eastAsia" w:ascii="Wingdings" w:hAnsi="Wingdings"/>
              </w:rPr>
              <w:t>□</w:t>
            </w:r>
            <w:r>
              <w:rPr>
                <w:rFonts w:hint="eastAsia"/>
              </w:rPr>
              <w:t>未进行定期校准/检定的有：</w:t>
            </w:r>
            <w:r>
              <w:rPr>
                <w:rFonts w:hint="eastAsia" w:ascii="宋体" w:hAnsi="宋体" w:cs="宋体"/>
                <w:szCs w:val="2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宋体" w:hAnsi="宋体" w:cs="宋体"/>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特种作业人员：</w:t>
            </w:r>
            <w:r>
              <w:rPr>
                <w:rFonts w:hint="eastAsia" w:ascii="宋体" w:hAnsi="宋体" w:cs="宋体"/>
                <w:lang w:eastAsia="zh-CN"/>
              </w:rPr>
              <w:t>■电工</w:t>
            </w:r>
            <w:r>
              <w:rPr>
                <w:rFonts w:hint="eastAsia"/>
                <w:color w:val="000000" w:themeColor="text1"/>
              </w:rPr>
              <w:t xml:space="preserve"> </w:t>
            </w:r>
            <w:r>
              <w:rPr>
                <w:rFonts w:hint="eastAsia" w:ascii="Wingdings" w:hAnsi="Wingdings"/>
              </w:rPr>
              <w:t>□</w:t>
            </w:r>
            <w:r>
              <w:rPr>
                <w:rFonts w:hint="eastAsia"/>
                <w:color w:val="000000" w:themeColor="text1"/>
              </w:rPr>
              <w:t xml:space="preserve">焊工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eastAsia="宋体" w:cs="宋体"/>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eastAsia="宋体" w:cs="宋体"/>
              </w:rPr>
              <w:t>■</w:t>
            </w:r>
            <w:r>
              <w:rPr>
                <w:rFonts w:hint="eastAsia" w:ascii="宋体" w:hAnsi="宋体" w:cs="宋体"/>
              </w:rPr>
              <w:t>其他</w:t>
            </w:r>
            <w:r>
              <w:rPr>
                <w:rFonts w:hint="eastAsia" w:ascii="宋体" w:hAnsi="宋体" w:cs="宋体"/>
                <w:lang w:eastAsia="zh-CN"/>
              </w:rPr>
              <w:t>：</w:t>
            </w:r>
            <w:r>
              <w:rPr>
                <w:rFonts w:hint="eastAsia"/>
                <w:color w:val="auto"/>
              </w:rPr>
              <w:t>保洁、绿化、化粪池清掏、电梯维保、消防设施维保</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694"/>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产品/服务名称</w:t>
                  </w:r>
                </w:p>
              </w:tc>
              <w:tc>
                <w:tcPr>
                  <w:tcW w:w="2694"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rPr>
                      <w:rFonts w:hint="eastAsia" w:eastAsia="宋体"/>
                      <w:lang w:eastAsia="zh-CN"/>
                    </w:rPr>
                  </w:pPr>
                  <w:r>
                    <w:rPr>
                      <w:rFonts w:hint="eastAsia"/>
                      <w:lang w:eastAsia="zh-CN"/>
                    </w:rPr>
                    <w:t>物业管理</w:t>
                  </w:r>
                </w:p>
              </w:tc>
              <w:tc>
                <w:tcPr>
                  <w:tcW w:w="2694" w:type="dxa"/>
                </w:tcPr>
                <w:p>
                  <w:pPr>
                    <w:shd w:val="clear" w:color="auto" w:fill="C7DAF1" w:themeFill="text2" w:themeFillTint="32"/>
                    <w:jc w:val="left"/>
                    <w:rPr>
                      <w:rFonts w:hint="eastAsia" w:eastAsia="宋体"/>
                      <w:lang w:eastAsia="zh-CN"/>
                    </w:rPr>
                  </w:pPr>
                  <w:r>
                    <w:rPr>
                      <w:rFonts w:hint="eastAsia"/>
                    </w:rPr>
                    <w:t>关键过程：</w:t>
                  </w:r>
                  <w:r>
                    <w:rPr>
                      <w:rFonts w:hint="eastAsia"/>
                      <w:color w:val="auto"/>
                    </w:rPr>
                    <w:t>物业服务过程</w:t>
                  </w:r>
                </w:p>
                <w:p>
                  <w:pPr>
                    <w:shd w:val="clear" w:color="auto" w:fill="C7DAF1" w:themeFill="text2" w:themeFillTint="32"/>
                    <w:jc w:val="left"/>
                  </w:pPr>
                </w:p>
              </w:tc>
              <w:tc>
                <w:tcPr>
                  <w:tcW w:w="3640" w:type="dxa"/>
                </w:tcPr>
                <w:p>
                  <w:pPr>
                    <w:shd w:val="clear" w:color="auto" w:fill="C7DAF1" w:themeFill="text2" w:themeFillTint="32"/>
                    <w:jc w:val="left"/>
                  </w:pPr>
                  <w:r>
                    <w:rPr>
                      <w:rFonts w:hint="eastAsia"/>
                    </w:rPr>
                    <w:t>包括服务方案制定、人员能力培训、服务过程监控、效果评价。</w:t>
                  </w:r>
                </w:p>
              </w:tc>
            </w:tr>
          </w:tbl>
          <w:p>
            <w:pPr>
              <w:shd w:val="clear" w:color="auto" w:fill="C7DAF1" w:themeFill="text2" w:themeFillTint="32"/>
              <w:jc w:val="left"/>
            </w:pPr>
          </w:p>
          <w:p>
            <w:pPr>
              <w:rPr>
                <w:rFonts w:hint="eastAsia" w:eastAsia="宋体"/>
                <w:color w:val="000000" w:themeColor="text1"/>
                <w:lang w:eastAsia="zh-CN"/>
              </w:rPr>
            </w:pPr>
            <w:r>
              <w:rPr>
                <w:rFonts w:hint="eastAsia"/>
              </w:rPr>
              <w:t>需要确认的过程：</w:t>
            </w:r>
            <w:r>
              <w:rPr>
                <w:rFonts w:hint="eastAsia"/>
                <w:lang w:eastAsia="zh-CN"/>
              </w:rPr>
              <w:t>物业管理</w:t>
            </w:r>
          </w:p>
          <w:p>
            <w:pPr>
              <w:shd w:val="clear" w:color="auto" w:fill="C7DAF1" w:themeFill="text2" w:themeFillTint="32"/>
              <w:jc w:val="left"/>
              <w:rPr>
                <w:color w:val="000000" w:themeColor="text1"/>
              </w:rPr>
            </w:pPr>
            <w:r>
              <w:rPr>
                <w:rFonts w:hint="eastAsia" w:ascii="Wingdings" w:hAnsi="Wingdings"/>
                <w:color w:val="000000" w:themeColor="text1"/>
              </w:rPr>
              <w:t>■</w:t>
            </w:r>
            <w:r>
              <w:rPr>
                <w:rFonts w:hint="eastAsia"/>
                <w:color w:val="000000" w:themeColor="text1"/>
              </w:rPr>
              <w:t xml:space="preserve">进行了有效的确认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p>
          <w:p>
            <w:pPr>
              <w:shd w:val="clear" w:color="auto" w:fill="C7DAF1" w:themeFill="text2" w:themeFillTint="32"/>
              <w:jc w:val="left"/>
            </w:pPr>
            <w:r>
              <w:rPr>
                <w:rFonts w:hint="eastAsia"/>
                <w:color w:val="000000" w:themeColor="text1"/>
              </w:rPr>
              <w:t>对生产和服务提供过程的控制</w:t>
            </w:r>
            <w:r>
              <w:rPr>
                <w:rFonts w:hint="eastAsia" w:ascii="Wingdings" w:hAnsi="Wingdings"/>
                <w:color w:val="000000" w:themeColor="text1"/>
              </w:rPr>
              <w:t>■</w:t>
            </w:r>
            <w:r>
              <w:rPr>
                <w:rFonts w:hint="eastAsia"/>
                <w:color w:val="000000" w:themeColor="text1"/>
              </w:rPr>
              <w:t xml:space="preserve">符合要求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宋体" w:hAnsi="宋体" w:cs="宋体"/>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cs="宋体"/>
              </w:rPr>
              <w:t>■</w:t>
            </w:r>
            <w:r>
              <w:rPr>
                <w:rFonts w:hint="eastAsia"/>
              </w:rPr>
              <w:t>标识、</w:t>
            </w:r>
            <w:r>
              <w:rPr>
                <w:rFonts w:hint="eastAsia" w:ascii="宋体" w:hAnsi="宋体" w:cs="宋体"/>
              </w:rPr>
              <w:t>■</w:t>
            </w:r>
            <w:r>
              <w:rPr>
                <w:rFonts w:hint="eastAsia"/>
              </w:rPr>
              <w:t>处置、</w:t>
            </w:r>
            <w:r>
              <w:rPr>
                <w:rFonts w:hint="eastAsia" w:ascii="宋体" w:hAnsi="宋体" w:cs="宋体"/>
              </w:rPr>
              <w:t>■</w:t>
            </w:r>
            <w:r>
              <w:rPr>
                <w:rFonts w:hint="eastAsia"/>
              </w:rPr>
              <w:t>污染控制、</w:t>
            </w:r>
            <w:r>
              <w:rPr>
                <w:rFonts w:hint="eastAsia" w:ascii="宋体" w:hAnsi="宋体" w:cs="宋体"/>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宋体" w:hAnsi="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2022年3月8日</w:t>
            </w:r>
            <w:r>
              <w:rPr>
                <w:rFonts w:hint="eastAsia"/>
              </w:rPr>
              <w:t>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pPr>
              <w:pStyle w:val="13"/>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u w:val="single"/>
                <w:lang w:eastAsia="zh-CN"/>
              </w:rPr>
              <w:t>2022年3月16日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w:t>
            </w:r>
            <w:r>
              <w:rPr>
                <w:rFonts w:hint="eastAsia" w:ascii="宋体" w:hAnsi="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■定期（近一年）</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eastAsia="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lang w:eastAsia="zh-CN"/>
              </w:rPr>
              <w:t>□危化品管理</w:t>
            </w:r>
            <w:r>
              <w:rPr>
                <w:rFonts w:hint="eastAsia"/>
              </w:rPr>
              <w:t xml:space="preserve"> </w:t>
            </w:r>
            <w:r>
              <w:rPr>
                <w:rFonts w:hint="eastAsia" w:ascii="宋体" w:hAnsi="宋体" w:eastAsia="宋体" w:cs="宋体"/>
              </w:rPr>
              <w:t>■</w:t>
            </w:r>
            <w:r>
              <w:rPr>
                <w:rFonts w:hint="eastAsia" w:ascii="宋体" w:hAnsi="宋体" w:cs="宋体"/>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color w:val="auto"/>
              </w:rPr>
              <w:t>保洁、绿化、化粪池清掏、电梯维保、消防设施维保</w:t>
            </w:r>
          </w:p>
          <w:p>
            <w:pPr>
              <w:shd w:val="clear" w:color="auto" w:fill="EBF1DE" w:themeFill="accent3" w:themeFillTint="32"/>
              <w:spacing w:before="40" w:after="40"/>
            </w:pPr>
            <w:r>
              <w:rPr>
                <w:rFonts w:hint="eastAsia"/>
              </w:rPr>
              <w:t xml:space="preserve">□危险废物处置 □消防检测 </w:t>
            </w:r>
            <w:r>
              <w:rPr>
                <w:rFonts w:hint="eastAsia" w:ascii="宋体" w:hAnsi="宋体" w:eastAsia="宋体" w:cs="宋体"/>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w:t>
            </w:r>
            <w:r>
              <w:rPr>
                <w:rFonts w:hint="eastAsia"/>
                <w:lang w:val="en-GB"/>
              </w:rPr>
              <w:t>理者制定了文件化的管理体系方针</w:t>
            </w:r>
            <w:r>
              <w:rPr>
                <w:rFonts w:hint="eastAsia"/>
                <w:u w:val="single"/>
                <w:lang w:val="en-GB"/>
              </w:rPr>
              <w:t>：</w:t>
            </w:r>
            <w:r>
              <w:rPr>
                <w:rFonts w:hint="eastAsia"/>
                <w:u w:val="single"/>
                <w:lang w:val="en-GB" w:eastAsia="zh-CN"/>
              </w:rPr>
              <w:t>科学领先，顾客满意，持续改进，行业领先，质量一流，服务一流。</w:t>
            </w:r>
            <w:r>
              <w:rPr>
                <w:rFonts w:hint="eastAsia" w:ascii="宋体" w:hAnsi="宋体" w:cs="宋体"/>
                <w:color w:val="auto"/>
                <w:szCs w:val="21"/>
                <w:u w:val="single"/>
              </w:rPr>
              <w:t>预防为主，遵规守法，确保环境安全；以人为本，持续改进，实现平安和谐</w:t>
            </w: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固废排放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p>
              </w:tc>
              <w:tc>
                <w:tcPr>
                  <w:tcW w:w="4438" w:type="dxa"/>
                </w:tcPr>
                <w:p>
                  <w:pPr>
                    <w:shd w:val="clear" w:color="auto" w:fill="EBF1DE" w:themeFill="accent3" w:themeFillTint="32"/>
                    <w:rPr>
                      <w:rFonts w:asciiTheme="minorEastAsia" w:hAnsiTheme="minorEastAsia" w:eastAsiaTheme="minorEastAsia"/>
                      <w:szCs w:val="21"/>
                    </w:rPr>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highlight w:val="red"/>
                    </w:rPr>
                  </w:pPr>
                </w:p>
              </w:tc>
              <w:tc>
                <w:tcPr>
                  <w:tcW w:w="4438" w:type="dxa"/>
                </w:tcPr>
                <w:p>
                  <w:pPr>
                    <w:shd w:val="clear" w:color="auto" w:fill="EBF1DE" w:themeFill="accent3" w:themeFillTint="32"/>
                    <w:rPr>
                      <w:rFonts w:asciiTheme="minorEastAsia" w:hAnsiTheme="minorEastAsia" w:eastAsiaTheme="minorEastAsia"/>
                      <w:szCs w:val="21"/>
                    </w:rPr>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□废气排放 </w:t>
            </w:r>
            <w:r>
              <w:rPr>
                <w:rFonts w:hint="eastAsia" w:ascii="宋体" w:hAnsi="宋体" w:cs="宋体"/>
              </w:rPr>
              <w:t>□粉尘排放</w:t>
            </w:r>
            <w:r>
              <w:rPr>
                <w:rFonts w:hint="eastAsia"/>
              </w:rPr>
              <w:t xml:space="preserve">  □危废排放 □噪声排放  </w:t>
            </w:r>
            <w:r>
              <w:rPr>
                <w:rFonts w:hint="eastAsia" w:ascii="宋体" w:hAnsi="宋体" w:cs="宋体"/>
                <w:lang w:eastAsia="zh-CN"/>
              </w:rPr>
              <w:t>□化学品泄露</w:t>
            </w:r>
            <w:r>
              <w:rPr>
                <w:rFonts w:hint="eastAsia"/>
              </w:rPr>
              <w:t xml:space="preserve">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rPr>
                    <w:t>固体废弃物分类收集处置率100%</w:t>
                  </w:r>
                </w:p>
              </w:tc>
              <w:tc>
                <w:tcPr>
                  <w:tcW w:w="3399" w:type="dxa"/>
                  <w:shd w:val="clear" w:color="auto" w:fill="auto"/>
                  <w:vAlign w:val="center"/>
                </w:tcPr>
                <w:p>
                  <w:pPr>
                    <w:shd w:val="clear" w:color="auto" w:fill="EBF1DE" w:themeFill="accent3" w:themeFillTint="32"/>
                  </w:pPr>
                  <w:r>
                    <w:rPr>
                      <w:rFonts w:hint="eastAsia"/>
                    </w:rPr>
                    <w:t>采取分类收集、管理方案进行管理</w:t>
                  </w:r>
                </w:p>
              </w:tc>
              <w:tc>
                <w:tcPr>
                  <w:tcW w:w="1087" w:type="dxa"/>
                  <w:shd w:val="clear" w:color="auto" w:fill="auto"/>
                  <w:vAlign w:val="center"/>
                </w:tcPr>
                <w:p>
                  <w:pPr>
                    <w:shd w:val="clear" w:color="auto" w:fill="EBF1DE" w:themeFill="accent3" w:themeFillTint="32"/>
                    <w:rPr>
                      <w:rFonts w:hint="eastAsia" w:eastAsia="宋体"/>
                      <w:lang w:eastAsia="zh-CN"/>
                    </w:rPr>
                  </w:pPr>
                  <w:r>
                    <w:rPr>
                      <w:rFonts w:hint="eastAsia"/>
                      <w:lang w:eastAsia="zh-CN"/>
                    </w:rPr>
                    <w:t>行政部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pPr>
                  <w:r>
                    <w:rPr>
                      <w:rFonts w:hint="eastAsia"/>
                    </w:rPr>
                    <w:t>潜在火灾发生率为0</w:t>
                  </w:r>
                </w:p>
              </w:tc>
              <w:tc>
                <w:tcPr>
                  <w:tcW w:w="3399" w:type="dxa"/>
                  <w:shd w:val="clear" w:color="auto" w:fill="auto"/>
                  <w:vAlign w:val="center"/>
                </w:tcPr>
                <w:p>
                  <w:pPr>
                    <w:shd w:val="clear" w:color="auto" w:fill="EBF1DE" w:themeFill="accent3" w:themeFillTint="32"/>
                  </w:pPr>
                  <w:r>
                    <w:rPr>
                      <w:rFonts w:hint="eastAsia"/>
                    </w:rPr>
                    <w:t>通过管理方案和预案措施、应急演练进行管理</w:t>
                  </w:r>
                </w:p>
              </w:tc>
              <w:tc>
                <w:tcPr>
                  <w:tcW w:w="1087" w:type="dxa"/>
                  <w:shd w:val="clear" w:color="auto" w:fill="auto"/>
                  <w:vAlign w:val="center"/>
                </w:tcPr>
                <w:p>
                  <w:pPr>
                    <w:shd w:val="clear" w:color="auto" w:fill="EBF1DE" w:themeFill="accent3" w:themeFillTint="32"/>
                    <w:rPr>
                      <w:rFonts w:hint="eastAsia" w:eastAsia="宋体"/>
                      <w:lang w:eastAsia="zh-CN"/>
                    </w:rPr>
                  </w:pPr>
                  <w:r>
                    <w:rPr>
                      <w:rFonts w:hint="eastAsia"/>
                      <w:lang w:eastAsia="zh-CN"/>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cs="宋体"/>
              </w:rPr>
            </w:pPr>
            <w:r>
              <w:rPr>
                <w:rFonts w:hint="eastAsia"/>
              </w:rPr>
              <w:t>办公场所共</w:t>
            </w:r>
            <w:r>
              <w:rPr>
                <w:rFonts w:hint="eastAsia" w:cs="宋体"/>
              </w:rPr>
              <w:t>约</w:t>
            </w:r>
            <w:r>
              <w:rPr>
                <w:rFonts w:hint="eastAsia" w:cs="宋体"/>
                <w:u w:val="single"/>
                <w:lang w:eastAsia="zh-CN"/>
              </w:rPr>
              <w:t>300</w:t>
            </w:r>
            <w:r>
              <w:rPr>
                <w:rFonts w:hint="eastAsia" w:cs="宋体"/>
                <w:lang w:eastAsia="zh-CN"/>
              </w:rPr>
              <w:t>平方米</w:t>
            </w:r>
            <w:r>
              <w:rPr>
                <w:rFonts w:hint="eastAsia" w:cs="宋体"/>
              </w:rPr>
              <w:t>；临时场所1个；库房  1 个；实验室   个</w:t>
            </w:r>
          </w:p>
          <w:p>
            <w:pPr>
              <w:shd w:val="clear" w:color="auto" w:fill="EBF1DE" w:themeFill="accent3" w:themeFillTint="32"/>
              <w:rPr>
                <w:rFonts w:hint="eastAsia" w:eastAsia="宋体" w:cs="宋体"/>
                <w:u w:val="single"/>
                <w:lang w:eastAsia="zh-CN"/>
              </w:rPr>
            </w:pPr>
            <w:r>
              <w:rPr>
                <w:rFonts w:hint="eastAsia" w:cs="宋体"/>
              </w:rPr>
              <w:t>主要生产设备有：</w:t>
            </w:r>
            <w:r>
              <w:rPr>
                <w:rFonts w:hint="eastAsia" w:cs="宋体"/>
                <w:u w:val="single"/>
                <w:lang w:eastAsia="zh-CN"/>
              </w:rPr>
              <w:t>电脑、打印机、门位岗亭、对讲机、保安服、消防栓、灭火器、手电等，工程维修维护配置了维修工具(万用表、电工刀、螺丝刀、夹线钳等</w:t>
            </w:r>
          </w:p>
          <w:p>
            <w:pPr>
              <w:shd w:val="clear" w:color="auto" w:fill="EBF1DE" w:themeFill="accent3" w:themeFillTint="32"/>
              <w:rPr>
                <w:rFonts w:cs="宋体"/>
              </w:rPr>
            </w:pPr>
            <w:r>
              <w:rPr>
                <w:rFonts w:hint="eastAsia" w:cs="宋体"/>
              </w:rPr>
              <w:t>主要环保设备有：              （列举2~4种）</w:t>
            </w:r>
          </w:p>
          <w:p>
            <w:pPr>
              <w:shd w:val="clear" w:color="auto" w:fill="EBF1DE" w:themeFill="accent3" w:themeFillTint="32"/>
            </w:pPr>
            <w:r>
              <w:rPr>
                <w:rFonts w:hint="eastAsia" w:cs="宋体"/>
              </w:rPr>
              <w:t>特种设备：□叉车□行车</w:t>
            </w:r>
            <w:r>
              <w:rPr>
                <w:rFonts w:hint="eastAsia" w:ascii="Wingdings" w:hAnsi="Wingdings"/>
              </w:rPr>
              <w:t>□</w:t>
            </w:r>
            <w:r>
              <w:rPr>
                <w:rFonts w:hint="eastAsia"/>
              </w:rPr>
              <w:t>锅炉</w:t>
            </w:r>
            <w:r>
              <w:rPr>
                <w:rFonts w:hint="eastAsia" w:ascii="宋体" w:hAnsi="宋体" w:cs="宋体"/>
                <w:lang w:eastAsia="zh-CN"/>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 xml:space="preserve">辅助场所：□高压配电室 □低压配电室 □空压站 □锅炉房 □食堂  □危化品库  </w:t>
            </w:r>
          </w:p>
          <w:p>
            <w:pPr>
              <w:shd w:val="clear" w:color="auto" w:fill="EBF1DE" w:themeFill="accent3" w:themeFillTint="32"/>
            </w:pPr>
            <w:r>
              <w:rPr>
                <w:rFonts w:hint="eastAsia"/>
              </w:rPr>
              <w:t>□危废库  □建筑施工 □污水处理站  □其他</w:t>
            </w:r>
          </w:p>
          <w:p>
            <w:pPr>
              <w:shd w:val="clear" w:color="auto" w:fill="EBF1DE" w:themeFill="accent3" w:themeFillTint="32"/>
            </w:pPr>
            <w:r>
              <w:rPr>
                <w:rFonts w:hint="eastAsia"/>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 ■招聘 □换岗 ■培训  ■考核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cs="宋体"/>
                <w:lang w:eastAsia="zh-CN"/>
              </w:rPr>
              <w:t>■电工</w:t>
            </w:r>
            <w:r>
              <w:rPr>
                <w:rFonts w:ascii="Wingdings" w:hAnsi="Wingdings"/>
              </w:rPr>
              <w:t></w:t>
            </w:r>
            <w:r>
              <w:rPr>
                <w:rFonts w:hint="eastAsia" w:ascii="Wingdings" w:hAnsi="Wingdings"/>
              </w:rPr>
              <w:t>□焊工</w:t>
            </w:r>
            <w:r>
              <w:rPr>
                <w:rFonts w:hint="eastAsia"/>
              </w:rPr>
              <w:t xml:space="preserve">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宋体" w:hAnsi="宋体" w:cs="宋体"/>
                <w:lang w:eastAsia="zh-CN"/>
              </w:rPr>
              <w:t>□MSDS</w:t>
            </w:r>
            <w:r>
              <w:rPr>
                <w:rFonts w:hint="eastAsia"/>
              </w:rPr>
              <w:t xml:space="preserve">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rFonts w:hint="eastAsia" w:eastAsia="宋体"/>
                      <w:lang w:eastAsia="zh-CN"/>
                    </w:rPr>
                  </w:pPr>
                  <w:r>
                    <w:rPr>
                      <w:rFonts w:hint="eastAsia"/>
                    </w:rPr>
                    <w:t>固废</w:t>
                  </w:r>
                  <w:r>
                    <w:rPr>
                      <w:rFonts w:hint="eastAsia"/>
                      <w:lang w:val="en-US" w:eastAsia="zh-CN"/>
                    </w:rPr>
                    <w:t>排放</w:t>
                  </w:r>
                </w:p>
              </w:tc>
              <w:tc>
                <w:tcPr>
                  <w:tcW w:w="4430" w:type="dxa"/>
                </w:tcPr>
                <w:p>
                  <w:pPr>
                    <w:shd w:val="clear" w:color="auto" w:fill="EBF1DE" w:themeFill="accent3" w:themeFillTint="32"/>
                    <w:jc w:val="left"/>
                  </w:pPr>
                  <w:r>
                    <w:rPr>
                      <w:rFonts w:hint="eastAsia"/>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火灾</w:t>
                  </w:r>
                </w:p>
              </w:tc>
              <w:tc>
                <w:tcPr>
                  <w:tcW w:w="4430" w:type="dxa"/>
                </w:tcPr>
                <w:p>
                  <w:pPr>
                    <w:shd w:val="clear" w:color="auto" w:fill="EBF1DE" w:themeFill="accent3" w:themeFillTint="32"/>
                    <w:jc w:val="left"/>
                  </w:pPr>
                  <w:r>
                    <w:rPr>
                      <w:rFonts w:hint="eastAsia"/>
                    </w:rPr>
                    <w:t>通过管理方案和预案措施、应急演练进行管理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宋体" w:hAnsi="宋体" w:eastAsia="宋体" w:cs="宋体"/>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lang w:eastAsia="zh-CN"/>
              </w:rPr>
              <w:t>□MSDS</w:t>
            </w:r>
            <w:r>
              <w:rPr>
                <w:rFonts w:hint="eastAsia"/>
              </w:rPr>
              <w:t xml:space="preserve"> </w:t>
            </w:r>
            <w:r>
              <w:rPr>
                <w:rFonts w:hint="eastAsia" w:ascii="宋体" w:hAnsi="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lang w:eastAsia="zh-CN"/>
              </w:rPr>
              <w:t>2022年3月10日</w:t>
            </w:r>
            <w:r>
              <w:rPr>
                <w:rFonts w:hint="eastAsia"/>
              </w:rPr>
              <w:t xml:space="preserve">进行了消防火灾演练；并总结了预案的可行性和有效性。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u w:val="single"/>
                <w:lang w:val="en-US" w:eastAsia="zh-CN"/>
              </w:rPr>
            </w:pPr>
            <w:r>
              <w:rPr>
                <w:rFonts w:hint="eastAsia" w:ascii="宋体" w:hAnsi="宋体" w:cs="宋体"/>
              </w:rPr>
              <w:t>■</w:t>
            </w:r>
            <w:r>
              <w:rPr>
                <w:rFonts w:hint="eastAsia"/>
              </w:rPr>
              <w:t>定期（每年）：</w:t>
            </w:r>
            <w:r>
              <w:rPr>
                <w:rFonts w:hint="eastAsia"/>
                <w:u w:val="single"/>
              </w:rPr>
              <w:t>202</w:t>
            </w:r>
            <w:r>
              <w:rPr>
                <w:rFonts w:hint="eastAsia"/>
                <w:u w:val="single"/>
                <w:lang w:val="en-US" w:eastAsia="zh-CN"/>
              </w:rPr>
              <w:t>2</w:t>
            </w:r>
            <w:r>
              <w:rPr>
                <w:rFonts w:hint="eastAsia"/>
                <w:u w:val="single"/>
              </w:rPr>
              <w:t>年</w:t>
            </w:r>
            <w:r>
              <w:rPr>
                <w:rFonts w:hint="eastAsia"/>
                <w:u w:val="single"/>
                <w:lang w:val="en-US" w:eastAsia="zh-CN"/>
              </w:rPr>
              <w:t>3</w:t>
            </w:r>
            <w:r>
              <w:rPr>
                <w:rFonts w:hint="eastAsia"/>
                <w:u w:val="single"/>
              </w:rPr>
              <w:t>月</w:t>
            </w:r>
            <w:r>
              <w:rPr>
                <w:rFonts w:hint="eastAsia"/>
                <w:u w:val="single"/>
                <w:lang w:val="en-US" w:eastAsia="zh-CN"/>
              </w:rPr>
              <w:t>组织进行了</w:t>
            </w:r>
            <w:r>
              <w:rPr>
                <w:rFonts w:hint="eastAsia"/>
                <w:u w:val="single"/>
              </w:rPr>
              <w:t>合规性评价</w:t>
            </w:r>
            <w:r>
              <w:rPr>
                <w:rFonts w:hint="eastAsia"/>
                <w:u w:val="single"/>
                <w:lang w:eastAsia="zh-CN"/>
              </w:rPr>
              <w:t>。</w:t>
            </w:r>
            <w:r>
              <w:rPr>
                <w:rFonts w:hint="eastAsia"/>
                <w:u w:val="single"/>
                <w:lang w:val="en-US" w:eastAsia="zh-CN"/>
              </w:rPr>
              <w:t>有评价</w:t>
            </w:r>
            <w:r>
              <w:rPr>
                <w:rFonts w:hint="eastAsia"/>
                <w:u w:val="single"/>
              </w:rPr>
              <w:t>记录，未提供合规性评价结论及报告</w:t>
            </w:r>
            <w:r>
              <w:rPr>
                <w:rFonts w:hint="eastAsia"/>
                <w:u w:val="single"/>
                <w:lang w:eastAsia="zh-CN"/>
              </w:rPr>
              <w:t>，</w:t>
            </w:r>
            <w:r>
              <w:rPr>
                <w:rFonts w:hint="eastAsia"/>
                <w:u w:val="single"/>
                <w:lang w:val="en-US" w:eastAsia="zh-CN"/>
              </w:rPr>
              <w:t>开具不符合</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2022年3月8日</w:t>
            </w:r>
            <w:r>
              <w:rPr>
                <w:rFonts w:hint="eastAsia"/>
              </w:rPr>
              <w:t>实施了环境管理体系内部审核，对环境管理体系的符合性和有效性进行了审核。内审发现的 1 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宋体" w:hAnsi="宋体" w:cs="宋体"/>
                <w:color w:val="auto"/>
                <w:szCs w:val="21"/>
                <w:u w:val="single"/>
                <w:lang w:val="en-US" w:eastAsia="zh-CN"/>
              </w:rPr>
              <w:t>2022年3月16日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ascii="宋体" w:hAnsi="宋体" w:eastAsia="宋体" w:cs="宋体"/>
              </w:rPr>
              <w:t>■</w:t>
            </w:r>
            <w:r>
              <w:rPr>
                <w:spacing w:val="-2"/>
                <w:sz w:val="20"/>
              </w:rPr>
              <w:t>OHSMS</w:t>
            </w:r>
            <w:r>
              <w:rPr>
                <w:rFonts w:hint="eastAsia"/>
              </w:rPr>
              <w:t xml:space="preserve">体系建立以来   </w:t>
            </w:r>
            <w:r>
              <w:rPr>
                <w:rFonts w:hint="eastAsia"/>
                <w:lang w:eastAsia="zh-CN"/>
              </w:rPr>
              <w:t>■定期（近一年）</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w:t>
            </w:r>
            <w:r>
              <w:rPr>
                <w:rFonts w:hint="eastAsia" w:ascii="宋体" w:hAnsi="宋体" w:cs="宋体"/>
                <w:lang w:eastAsia="zh-CN"/>
              </w:rPr>
              <w:t>□危化品管理</w:t>
            </w:r>
            <w:r>
              <w:rPr>
                <w:rFonts w:hint="eastAsia"/>
              </w:rPr>
              <w:t xml:space="preserve"> </w:t>
            </w:r>
            <w:r>
              <w:rPr>
                <w:rFonts w:hint="eastAsia" w:ascii="宋体" w:hAnsi="宋体" w:eastAsia="宋体" w:cs="宋体"/>
              </w:rPr>
              <w:t>■</w:t>
            </w:r>
            <w:r>
              <w:rPr>
                <w:rFonts w:hint="eastAsia" w:ascii="宋体" w:hAnsi="宋体" w:cs="宋体"/>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color w:val="auto"/>
              </w:rPr>
              <w:t>保洁、绿化、化粪池清掏、电梯维保、消防设施维保</w:t>
            </w:r>
          </w:p>
          <w:p>
            <w:pPr>
              <w:spacing w:before="40" w:after="40"/>
            </w:pPr>
            <w:r>
              <w:rPr>
                <w:rFonts w:hint="eastAsia"/>
              </w:rPr>
              <w:t xml:space="preserve">□危险废物处置 □消防检测 </w:t>
            </w:r>
            <w:r>
              <w:rPr>
                <w:rFonts w:hint="eastAsia" w:ascii="宋体" w:hAnsi="宋体" w:eastAsia="宋体" w:cs="宋体"/>
              </w:rPr>
              <w:t>■</w:t>
            </w:r>
            <w:r>
              <w:rPr>
                <w:rFonts w:hint="eastAsia"/>
              </w:rPr>
              <w:t>生产/服务过程 □安全监测 □产品运输 □设备维修</w:t>
            </w:r>
          </w:p>
          <w:p>
            <w:pPr>
              <w:spacing w:before="40" w:after="40"/>
            </w:pPr>
            <w:r>
              <w:rPr>
                <w:rFonts w:hint="eastAsia"/>
              </w:rPr>
              <w:t xml:space="preserve">□人员培训 </w:t>
            </w:r>
            <w:r>
              <w:rPr>
                <w:rFonts w:hint="eastAsia" w:ascii="宋体" w:hAnsi="宋体" w:cs="宋体"/>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500" w:lineRule="exact"/>
            </w:pPr>
            <w:r>
              <w:rPr>
                <w:rFonts w:hint="eastAsia"/>
              </w:rPr>
              <w:t>最高管理者制定了文件化的职业健康安全管理体系方针：</w:t>
            </w:r>
          </w:p>
          <w:p>
            <w:r>
              <w:rPr>
                <w:rFonts w:hint="eastAsia"/>
                <w:u w:val="single"/>
                <w:lang w:eastAsia="zh-CN"/>
              </w:rPr>
              <w:t>科学领先，顾客满意，持续改进，行业领先，质量一流，服务一流。</w:t>
            </w:r>
            <w:r>
              <w:rPr>
                <w:rFonts w:hint="eastAsia" w:ascii="宋体" w:hAnsi="宋体" w:cs="宋体"/>
                <w:color w:val="auto"/>
                <w:szCs w:val="21"/>
                <w:u w:val="single"/>
              </w:rPr>
              <w:t>预防为主，遵规守法，确保环境安全；以人为本，持续改进，实现平安和谐</w:t>
            </w:r>
            <w:r>
              <w:rPr>
                <w:rFonts w:hint="eastAsia" w:ascii="宋体" w:hAnsi="宋体" w:cs="宋体"/>
                <w:color w:val="auto"/>
                <w:szCs w:val="21"/>
                <w:u w:val="single"/>
                <w:lang w:eastAsia="zh-CN"/>
              </w:rPr>
              <w:t>。</w:t>
            </w:r>
            <w:r>
              <w:rPr>
                <w:rFonts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
              <w:rPr>
                <w:rFonts w:hint="eastAsia"/>
              </w:rPr>
              <w:t>最高管理层已经宣布了组织的职业健康安全方针并进行了实施，它使所有员工负起持续改进职业健康安全管理体系的责任，并在相关方有需要时提供。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张晨乐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405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55" w:type="dxa"/>
                </w:tcPr>
                <w:p>
                  <w:r>
                    <w:rPr>
                      <w:rFonts w:hint="eastAsia"/>
                    </w:rPr>
                    <w:t>主要的风险或机遇描述</w:t>
                  </w:r>
                </w:p>
              </w:tc>
              <w:tc>
                <w:tcPr>
                  <w:tcW w:w="405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r>
                    <w:rPr>
                      <w:rFonts w:hint="eastAsia"/>
                    </w:rPr>
                    <w:t>火灾</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r>
                    <w:rPr>
                      <w:rFonts w:hint="eastAsia"/>
                    </w:rPr>
                    <w:t>意外伤害</w:t>
                  </w:r>
                </w:p>
              </w:tc>
              <w:tc>
                <w:tcPr>
                  <w:tcW w:w="4050" w:type="dxa"/>
                </w:tcPr>
                <w:p>
                  <w:r>
                    <w:rPr>
                      <w:rFonts w:hint="eastAsia"/>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tc>
              <w:tc>
                <w:tcPr>
                  <w:tcW w:w="4050"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widowControl/>
                    <w:spacing w:before="40"/>
                    <w:jc w:val="left"/>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  □触电 □化学伤害  □噪声 □粉尘  □危险作业 □高低温  □危化品泄露 □压力容器爆炸  ■火灾  ■其他：</w:t>
            </w:r>
            <w:r>
              <w:rPr>
                <w:rFonts w:hint="eastAsia"/>
                <w:lang w:val="en-US" w:eastAsia="zh-CN"/>
              </w:rPr>
              <w:t>意外</w:t>
            </w:r>
            <w:r>
              <w:rPr>
                <w:rFonts w:hint="eastAsia"/>
              </w:rPr>
              <w:t>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ascii="宋体" w:hAnsi="宋体" w:cs="宋体"/>
              </w:rPr>
              <w:t>■</w:t>
            </w: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r>
                    <w:rPr>
                      <w:rFonts w:hint="eastAsia"/>
                    </w:rPr>
                    <w:t>职业健康安全目标</w:t>
                  </w:r>
                </w:p>
              </w:tc>
              <w:tc>
                <w:tcPr>
                  <w:tcW w:w="3464" w:type="dxa"/>
                  <w:shd w:val="clear" w:color="auto" w:fill="auto"/>
                </w:tcPr>
                <w:p>
                  <w:r>
                    <w:rPr>
                      <w:rFonts w:hint="eastAsia"/>
                    </w:rPr>
                    <w:t>控制措施</w:t>
                  </w:r>
                </w:p>
              </w:tc>
              <w:tc>
                <w:tcPr>
                  <w:tcW w:w="1020" w:type="dxa"/>
                  <w:shd w:val="clear" w:color="auto" w:fill="auto"/>
                </w:tcPr>
                <w:p>
                  <w:r>
                    <w:rPr>
                      <w:rFonts w:hint="eastAsia"/>
                    </w:rPr>
                    <w:t>责任部门</w:t>
                  </w:r>
                </w:p>
              </w:tc>
              <w:tc>
                <w:tcPr>
                  <w:tcW w:w="1547" w:type="dxa"/>
                  <w:shd w:val="clear" w:color="auto" w:fill="auto"/>
                </w:tcPr>
                <w:p>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rPr>
                  </w:pPr>
                  <w:r>
                    <w:rPr>
                      <w:rFonts w:hint="eastAsia"/>
                    </w:rPr>
                    <w:t>潜在火灾发生率为0</w:t>
                  </w:r>
                </w:p>
              </w:tc>
              <w:tc>
                <w:tcPr>
                  <w:tcW w:w="3464" w:type="dxa"/>
                  <w:shd w:val="clear" w:color="auto" w:fill="auto"/>
                  <w:vAlign w:val="center"/>
                </w:tcPr>
                <w:p>
                  <w:r>
                    <w:rPr>
                      <w:rFonts w:hint="eastAsia"/>
                    </w:rPr>
                    <w:t>通过管理方案和预案措施、应急演练进行管理</w:t>
                  </w:r>
                </w:p>
              </w:tc>
              <w:tc>
                <w:tcPr>
                  <w:tcW w:w="1020" w:type="dxa"/>
                  <w:shd w:val="clear" w:color="auto" w:fill="auto"/>
                  <w:vAlign w:val="center"/>
                </w:tcPr>
                <w:p>
                  <w:r>
                    <w:rPr>
                      <w:rFonts w:hint="eastAsia"/>
                    </w:rPr>
                    <w:t>各部门</w:t>
                  </w:r>
                </w:p>
              </w:tc>
              <w:tc>
                <w:tcPr>
                  <w:tcW w:w="1547" w:type="dxa"/>
                  <w:shd w:val="clear" w:color="auto" w:fill="auto"/>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rPr>
                  </w:pPr>
                  <w:r>
                    <w:rPr>
                      <w:rFonts w:hint="eastAsia"/>
                    </w:rPr>
                    <w:t>意外伤害为0</w:t>
                  </w:r>
                </w:p>
              </w:tc>
              <w:tc>
                <w:tcPr>
                  <w:tcW w:w="3464" w:type="dxa"/>
                  <w:shd w:val="clear" w:color="auto" w:fill="auto"/>
                  <w:vAlign w:val="center"/>
                </w:tcPr>
                <w:p>
                  <w:r>
                    <w:rPr>
                      <w:rFonts w:hint="eastAsia"/>
                    </w:rPr>
                    <w:t>通过管理方案和预案措施进行管理</w:t>
                  </w:r>
                </w:p>
              </w:tc>
              <w:tc>
                <w:tcPr>
                  <w:tcW w:w="1020" w:type="dxa"/>
                  <w:shd w:val="clear" w:color="auto" w:fill="auto"/>
                  <w:vAlign w:val="center"/>
                </w:tcPr>
                <w:p>
                  <w:r>
                    <w:rPr>
                      <w:rFonts w:hint="eastAsia"/>
                    </w:rPr>
                    <w:t>各部门</w:t>
                  </w:r>
                </w:p>
              </w:tc>
              <w:tc>
                <w:tcPr>
                  <w:tcW w:w="1547" w:type="dxa"/>
                  <w:shd w:val="clear" w:color="auto" w:fill="auto"/>
                  <w:vAlign w:val="center"/>
                </w:tcPr>
                <w:p>
                  <w:pPr>
                    <w:ind w:firstLine="630" w:firstLineChars="300"/>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widowControl/>
                    <w:jc w:val="left"/>
                    <w:textAlignment w:val="center"/>
                  </w:pPr>
                </w:p>
              </w:tc>
              <w:tc>
                <w:tcPr>
                  <w:tcW w:w="3464" w:type="dxa"/>
                  <w:shd w:val="clear" w:color="auto" w:fill="auto"/>
                  <w:vAlign w:val="center"/>
                </w:tcPr>
                <w:p/>
              </w:tc>
              <w:tc>
                <w:tcPr>
                  <w:tcW w:w="1020" w:type="dxa"/>
                  <w:shd w:val="clear" w:color="auto" w:fill="auto"/>
                  <w:vAlign w:val="center"/>
                </w:tcPr>
                <w:p/>
              </w:tc>
              <w:tc>
                <w:tcPr>
                  <w:tcW w:w="1547"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宋体" w:hAnsi="宋体"/>
                    </w:rPr>
                  </w:pPr>
                </w:p>
              </w:tc>
              <w:tc>
                <w:tcPr>
                  <w:tcW w:w="3464" w:type="dxa"/>
                  <w:shd w:val="clear" w:color="auto" w:fill="auto"/>
                  <w:vAlign w:val="center"/>
                </w:tcPr>
                <w:p>
                  <w:pPr>
                    <w:rPr>
                      <w:rFonts w:asciiTheme="minorEastAsia" w:hAnsiTheme="minorEastAsia" w:eastAsiaTheme="minorEastAsia"/>
                      <w:szCs w:val="21"/>
                    </w:rPr>
                  </w:pPr>
                </w:p>
              </w:tc>
              <w:tc>
                <w:tcPr>
                  <w:tcW w:w="1020" w:type="dxa"/>
                  <w:shd w:val="clear" w:color="auto" w:fill="auto"/>
                  <w:vAlign w:val="center"/>
                </w:tcPr>
                <w:p>
                  <w:pPr>
                    <w:rPr>
                      <w:rFonts w:ascii="宋体" w:hAnsi="宋体"/>
                    </w:rPr>
                  </w:pPr>
                </w:p>
              </w:tc>
              <w:tc>
                <w:tcPr>
                  <w:tcW w:w="1547"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pStyle w:val="3"/>
              <w:ind w:firstLine="0"/>
              <w:rPr>
                <w:rFonts w:cs="宋体"/>
                <w:szCs w:val="24"/>
              </w:rPr>
            </w:pPr>
            <w:r>
              <w:rPr>
                <w:rFonts w:hint="eastAsia"/>
              </w:rPr>
              <w:t>办公场所共约</w:t>
            </w:r>
            <w:r>
              <w:rPr>
                <w:rFonts w:hint="eastAsia" w:cs="宋体"/>
                <w:szCs w:val="24"/>
                <w:lang w:eastAsia="zh-CN"/>
              </w:rPr>
              <w:t>300平方米</w:t>
            </w:r>
            <w:r>
              <w:rPr>
                <w:rFonts w:hint="eastAsia" w:cs="宋体"/>
                <w:szCs w:val="24"/>
              </w:rPr>
              <w:t>；临时场所1个；库房 1  个；实验室   个</w:t>
            </w:r>
          </w:p>
          <w:p>
            <w:pPr>
              <w:rPr>
                <w:rFonts w:hint="eastAsia" w:eastAsia="宋体" w:cs="宋体"/>
                <w:lang w:eastAsia="zh-CN"/>
              </w:rPr>
            </w:pPr>
            <w:r>
              <w:rPr>
                <w:rFonts w:hint="eastAsia" w:cs="宋体"/>
              </w:rPr>
              <w:t>主要生产设备有：</w:t>
            </w:r>
            <w:r>
              <w:rPr>
                <w:rFonts w:hint="eastAsia" w:cs="宋体"/>
                <w:u w:val="single"/>
                <w:lang w:eastAsia="zh-CN"/>
              </w:rPr>
              <w:t>电脑、打印机、门位岗亭、对讲机、保安服、消防栓、灭火器、手电等，工程维修维护配置了维修工具(万用表、电工刀、螺丝刀、夹线钳等</w:t>
            </w:r>
          </w:p>
          <w:p>
            <w:pPr>
              <w:rPr>
                <w:rFonts w:cs="宋体"/>
              </w:rPr>
            </w:pPr>
            <w:r>
              <w:rPr>
                <w:rFonts w:hint="eastAsia" w:cs="宋体"/>
              </w:rPr>
              <w:t>主要安全装置有：</w:t>
            </w:r>
          </w:p>
          <w:p>
            <w:r>
              <w:rPr>
                <w:rFonts w:hint="eastAsia" w:ascii="Wingdings" w:hAnsi="Wingdings"/>
              </w:rPr>
              <w:t>□急停按钮</w:t>
            </w:r>
            <w:r>
              <w:rPr>
                <w:rFonts w:hint="eastAsia"/>
              </w:rPr>
              <w:t xml:space="preserve">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u w:val="none"/>
              </w:rPr>
              <w:t xml:space="preserve"> </w:t>
            </w:r>
            <w:r>
              <w:rPr>
                <w:rFonts w:hint="eastAsia" w:ascii="宋体" w:hAnsi="宋体" w:eastAsia="宋体" w:cs="宋体"/>
                <w:u w:val="none"/>
              </w:rPr>
              <w:t>■</w:t>
            </w:r>
            <w:r>
              <w:rPr>
                <w:rFonts w:hint="eastAsia" w:eastAsia="宋体"/>
                <w:u w:val="none"/>
                <w:lang w:val="en-US" w:eastAsia="zh-CN"/>
              </w:rPr>
              <w:t>电梯</w:t>
            </w:r>
            <w:r>
              <w:rPr>
                <w:rFonts w:hint="eastAsia"/>
                <w:u w:val="none"/>
              </w:rPr>
              <w:t xml:space="preserve">   </w:t>
            </w:r>
            <w:r>
              <w:rPr>
                <w:rFonts w:hint="eastAsia"/>
                <w:u w:val="none"/>
              </w:rPr>
              <w:t xml:space="preserve">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r>
              <w:rPr>
                <w:rFonts w:hint="eastAsia"/>
              </w:rPr>
              <w:t>对国家规定持证上岗的人员资质进行了有效的管理。</w:t>
            </w:r>
          </w:p>
          <w:p>
            <w:r>
              <w:rPr>
                <w:rFonts w:hint="eastAsia"/>
              </w:rPr>
              <w:t>特种作业人员：</w:t>
            </w:r>
            <w:r>
              <w:rPr>
                <w:rFonts w:hint="eastAsia"/>
                <w:lang w:eastAsia="zh-CN"/>
              </w:rPr>
              <w:t>■电工</w:t>
            </w:r>
            <w:r>
              <w:rPr>
                <w:rFonts w:hint="eastAsia"/>
              </w:rPr>
              <w:t xml:space="preserve"> □焊工  □危化品作业  □制冷工   □其他  </w:t>
            </w:r>
          </w:p>
          <w:p>
            <w:r>
              <w:rPr>
                <w:rFonts w:hint="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宋体" w:hAnsi="宋体" w:cs="宋体"/>
                <w:lang w:eastAsia="zh-CN"/>
              </w:rPr>
              <w:t>□MSDS</w:t>
            </w:r>
            <w:r>
              <w:rPr>
                <w:rFonts w:hint="eastAsia"/>
              </w:rPr>
              <w:t xml:space="preserve">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宋体" w:hAnsi="宋体" w:cs="宋体"/>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rPr>
                    <w:t>□漏电保护 □绝缘用具检测</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□除尘装置  □穿戴劳保用品（防尘面罩）</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□减少作业时间  □空间隔离  ■防暑降温用品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r>
              <w:rPr>
                <w:rFonts w:hint="eastAsia"/>
              </w:rPr>
              <w:t>特种设备管理：</w:t>
            </w:r>
            <w:r>
              <w:rPr>
                <w:rFonts w:hint="eastAsia" w:ascii="宋体" w:hAnsi="宋体" w:eastAsia="宋体" w:cs="宋体"/>
              </w:rPr>
              <w:t>■</w:t>
            </w:r>
            <w:r>
              <w:rPr>
                <w:rFonts w:hint="eastAsia"/>
              </w:rPr>
              <w:t xml:space="preserve">进行了定期检验  □未进行定期检验的有：                 </w:t>
            </w:r>
          </w:p>
          <w:p>
            <w:r>
              <w:rPr>
                <w:rFonts w:hint="eastAsia"/>
              </w:rPr>
              <w:t>特种设备检测报告，如：</w:t>
            </w:r>
            <w:r>
              <w:rPr>
                <w:rFonts w:hint="eastAsia"/>
                <w:u w:val="single"/>
              </w:rPr>
              <w:t xml:space="preserve">  </w:t>
            </w:r>
            <w:r>
              <w:rPr>
                <w:rFonts w:hint="eastAsia"/>
                <w:u w:val="single"/>
                <w:lang w:val="en-US" w:eastAsia="zh-CN"/>
              </w:rPr>
              <w:t>见附件</w:t>
            </w:r>
            <w:r>
              <w:rPr>
                <w:rFonts w:hint="eastAsia" w:ascii="宋体" w:hAnsi="宋体" w:cs="宋体"/>
                <w:color w:val="000000" w:themeColor="text1"/>
                <w:szCs w:val="21"/>
                <w:u w:val="single"/>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cs="宋体"/>
                <w:lang w:eastAsia="zh-CN"/>
              </w:rPr>
              <w:t>□MSDS</w:t>
            </w:r>
            <w:r>
              <w:rPr>
                <w:rFonts w:hint="eastAsia"/>
              </w:rPr>
              <w:t xml:space="preserve"> </w:t>
            </w:r>
            <w:r>
              <w:rPr>
                <w:rFonts w:hint="eastAsia" w:ascii="宋体" w:hAnsi="宋体" w:cs="宋体"/>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eastAsia="宋体" w:cs="宋体"/>
              </w:rPr>
              <w:t>■</w:t>
            </w:r>
            <w:r>
              <w:rPr>
                <w:rFonts w:hint="eastAsia"/>
              </w:rPr>
              <w:t>其他</w:t>
            </w:r>
            <w:r>
              <w:rPr>
                <w:rFonts w:hint="eastAsia"/>
                <w:lang w:eastAsia="zh-CN"/>
              </w:rPr>
              <w:t>：</w:t>
            </w:r>
            <w:r>
              <w:rPr>
                <w:rFonts w:hint="eastAsia"/>
                <w:lang w:val="en-US" w:eastAsia="zh-CN"/>
              </w:rPr>
              <w:t>售后服务</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                                。</w:t>
            </w:r>
          </w:p>
          <w:p>
            <w:r>
              <w:rPr>
                <w:rFonts w:hint="eastAsia"/>
              </w:rPr>
              <w:t xml:space="preserve"> </w:t>
            </w:r>
          </w:p>
          <w:p>
            <w:r>
              <w:rPr>
                <w:rFonts w:hint="eastAsia"/>
              </w:rPr>
              <w:t>于</w:t>
            </w:r>
            <w:r>
              <w:rPr>
                <w:rFonts w:hint="eastAsia"/>
                <w:lang w:eastAsia="zh-CN"/>
              </w:rPr>
              <w:t>2022年3月10日</w:t>
            </w:r>
            <w:r>
              <w:rPr>
                <w:rFonts w:hint="eastAsia"/>
              </w:rPr>
              <w:t xml:space="preserve">进行了消防火灾演练；并总结了预案的可行性和有效性。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rPr>
            </w:pPr>
            <w:r>
              <w:rPr>
                <w:rFonts w:hint="eastAsia"/>
              </w:rPr>
              <w:t>实施合规性评价的时间：</w:t>
            </w:r>
          </w:p>
          <w:p>
            <w:pPr>
              <w:rPr>
                <w:rFonts w:hint="default"/>
                <w:lang w:val="en-US" w:eastAsia="zh-CN"/>
              </w:rPr>
            </w:pPr>
            <w:r>
              <w:rPr>
                <w:rFonts w:hint="eastAsia"/>
              </w:rPr>
              <w:t>■定期（每年） ：202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组织进行了</w:t>
            </w:r>
            <w:r>
              <w:rPr>
                <w:rFonts w:hint="eastAsia"/>
              </w:rPr>
              <w:t>合规性评价</w:t>
            </w:r>
            <w:r>
              <w:rPr>
                <w:rFonts w:hint="eastAsia"/>
                <w:lang w:eastAsia="zh-CN"/>
              </w:rPr>
              <w:t>。</w:t>
            </w:r>
            <w:r>
              <w:rPr>
                <w:rFonts w:hint="eastAsia"/>
                <w:lang w:val="en-US" w:eastAsia="zh-CN"/>
              </w:rPr>
              <w:t>有评价</w:t>
            </w:r>
            <w:r>
              <w:rPr>
                <w:rFonts w:hint="eastAsia"/>
              </w:rPr>
              <w:t>记录，未提供合规性评价结论及报告</w:t>
            </w:r>
            <w:r>
              <w:rPr>
                <w:rFonts w:hint="eastAsia"/>
                <w:lang w:eastAsia="zh-CN"/>
              </w:rPr>
              <w:t>，</w:t>
            </w:r>
            <w:r>
              <w:rPr>
                <w:rFonts w:hint="eastAsia"/>
                <w:lang w:val="en-US" w:eastAsia="zh-CN"/>
              </w:rPr>
              <w:t>开具不符合</w:t>
            </w:r>
          </w:p>
          <w:p/>
          <w:p>
            <w:r>
              <w:rPr>
                <w:rFonts w:hint="eastAsia"/>
              </w:rPr>
              <w:t xml:space="preserve">□特殊情况（法规变化）：       年  </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rPr>
              <w:t>□</w:t>
            </w:r>
            <w:r>
              <w:rPr>
                <w:rFonts w:hint="eastAsia"/>
                <w:color w:val="000000" w:themeColor="text1"/>
              </w:rPr>
              <w:t xml:space="preserve">入职 </w:t>
            </w:r>
            <w:r>
              <w:rPr>
                <w:rFonts w:hint="eastAsia" w:ascii="Wingdings" w:hAnsi="Wingdings"/>
                <w:color w:val="000000" w:themeColor="text1"/>
              </w:rPr>
              <w:t>□</w:t>
            </w:r>
            <w:r>
              <w:rPr>
                <w:rFonts w:hint="eastAsia"/>
                <w:color w:val="000000" w:themeColor="text1"/>
              </w:rPr>
              <w:t xml:space="preserve">离职 </w:t>
            </w:r>
            <w:r>
              <w:rPr>
                <w:rFonts w:hint="eastAsia" w:ascii="宋体" w:hAnsi="宋体" w:eastAsia="宋体" w:cs="宋体"/>
                <w:color w:val="000000" w:themeColor="text1"/>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宋体" w:hAnsi="宋体" w:eastAsia="宋体" w:cs="宋体"/>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2022年3月8日</w:t>
            </w:r>
            <w:r>
              <w:rPr>
                <w:rFonts w:hint="eastAsia"/>
              </w:rPr>
              <w:t>实施了职业健康安全管理体系内部审核，对职业健康安全管理体系的符合性和有效性进行了审核。内审发现的 1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lang w:eastAsia="zh-CN"/>
              </w:rPr>
              <w:t>2022年3月16日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bookmarkStart w:id="32" w:name="_GoBack"/>
            <w:bookmarkEnd w:id="32"/>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cs="宋体"/>
              </w:rPr>
              <w:t>■</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3318AB"/>
    <w:rsid w:val="272831E6"/>
    <w:rsid w:val="4F8807CA"/>
    <w:rsid w:val="50BE21F8"/>
    <w:rsid w:val="52403FBF"/>
    <w:rsid w:val="57956F99"/>
    <w:rsid w:val="6AF737BF"/>
    <w:rsid w:val="6C6321BD"/>
    <w:rsid w:val="749B0D35"/>
    <w:rsid w:val="7A9954E2"/>
    <w:rsid w:val="7AB81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Normal Indent"/>
    <w:basedOn w:val="1"/>
    <w:qFormat/>
    <w:uiPriority w:val="0"/>
    <w:pPr>
      <w:ind w:firstLine="420"/>
    </w:pPr>
    <w:rPr>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2022-04-09T03:11:40Z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