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受审核部门：管理层 综合部 销售部  技术部(含临时场所）        陪同人员：勾立山</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sz w:val="24"/>
                <w:szCs w:val="24"/>
              </w:rPr>
            </w:pPr>
            <w:r>
              <w:rPr>
                <w:rFonts w:hint="eastAsia"/>
                <w:color w:val="000000"/>
                <w:sz w:val="24"/>
                <w:szCs w:val="24"/>
              </w:rPr>
              <w:t>审核员：</w:t>
            </w:r>
            <w:bookmarkStart w:id="0" w:name="审核组成员不含组长"/>
            <w:r>
              <w:rPr>
                <w:rFonts w:hint="eastAsia"/>
                <w:color w:val="000000"/>
                <w:sz w:val="24"/>
                <w:szCs w:val="24"/>
              </w:rPr>
              <w:t>李京田，李雅静，</w:t>
            </w:r>
            <w:bookmarkEnd w:id="0"/>
            <w:r>
              <w:rPr>
                <w:rFonts w:hint="eastAsia"/>
                <w:color w:val="000000"/>
                <w:sz w:val="24"/>
                <w:szCs w:val="24"/>
              </w:rPr>
              <w:t xml:space="preserve">夏爱俭   </w:t>
            </w:r>
          </w:p>
          <w:p>
            <w:pPr>
              <w:spacing w:before="120"/>
              <w:rPr>
                <w:color w:val="000000"/>
              </w:rPr>
            </w:pPr>
            <w:r>
              <w:rPr>
                <w:rFonts w:hint="eastAsia"/>
                <w:color w:val="000000"/>
                <w:sz w:val="24"/>
                <w:szCs w:val="24"/>
              </w:rPr>
              <w:t xml:space="preserve"> 审核时间：</w:t>
            </w:r>
            <w:bookmarkStart w:id="1" w:name="审核日期"/>
            <w:r>
              <w:rPr>
                <w:color w:val="000000"/>
              </w:rPr>
              <w:t>2022年0</w:t>
            </w:r>
            <w:r>
              <w:rPr>
                <w:rFonts w:hint="eastAsia"/>
                <w:color w:val="000000"/>
              </w:rPr>
              <w:t>4</w:t>
            </w:r>
            <w:r>
              <w:rPr>
                <w:color w:val="000000"/>
              </w:rPr>
              <w:t>月</w:t>
            </w:r>
            <w:r>
              <w:rPr>
                <w:rFonts w:hint="eastAsia"/>
                <w:color w:val="000000"/>
              </w:rPr>
              <w:t>2</w:t>
            </w:r>
            <w:r>
              <w:rPr>
                <w:color w:val="000000"/>
              </w:rPr>
              <w:t>日 上午</w:t>
            </w:r>
            <w:bookmarkEnd w:id="1"/>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color w:val="000000"/>
                <w:szCs w:val="21"/>
              </w:rPr>
              <w:sym w:font="Wingdings 2" w:char="00A3"/>
            </w:r>
            <w:r>
              <w:rPr>
                <w:rFonts w:hint="eastAsia" w:ascii="宋体" w:hAnsi="宋体"/>
                <w:color w:val="000000"/>
                <w:szCs w:val="21"/>
              </w:rPr>
              <w:t xml:space="preserve">正本 </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color w:val="000000"/>
                <w:szCs w:val="21"/>
                <w:u w:val="single"/>
              </w:rPr>
              <w:t>91110102696329524F</w:t>
            </w:r>
            <w:r>
              <w:rPr>
                <w:rFonts w:hint="eastAsia"/>
                <w:color w:val="000000"/>
                <w:szCs w:val="21"/>
              </w:rPr>
              <w:t xml:space="preserve"> ； 有效期：</w:t>
            </w:r>
            <w:r>
              <w:rPr>
                <w:rFonts w:hint="eastAsia" w:ascii="宋体" w:hAnsi="宋体" w:cs="宋体"/>
                <w:color w:val="666666"/>
                <w:szCs w:val="21"/>
                <w:shd w:val="clear" w:color="auto" w:fill="FFFFFF"/>
              </w:rPr>
              <w:t>2009年11月04日</w:t>
            </w:r>
            <w:r>
              <w:rPr>
                <w:rFonts w:hint="eastAsia"/>
                <w:color w:val="000000"/>
                <w:szCs w:val="21"/>
              </w:rPr>
              <w:t>~</w:t>
            </w:r>
            <w:r>
              <w:rPr>
                <w:rFonts w:hint="eastAsia"/>
              </w:rPr>
              <w:t xml:space="preserve"> 2059年11月03日</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技术开发、技术服务、技术咨询、技术转让、技术推广；软件开发；软件咨询；租赁机械设备；信息系统集成服务；组织文化艺术交流活动；承办展览展示；图文设计、制作；企业策划：设计、制作、代理、发布广告；工程和技术研究与试验发展；数据处理（数据处理中的银行卡中心、PUE值在1.4以上的云计算数据中心除外）；销售电子产品、计算机、软件及辅助设备、通讯设备、安全技术防范产品、机械设备；货物进出口、代理进出口。（市场主体依法自主选择经营项目，开展经营活动；依法须经批准的项目，经相关部门批准后依批准的内容开展经营活动；不得从事国家和本市产业政策禁止和限制类项目的经营活动。）</w:t>
            </w:r>
          </w:p>
          <w:p>
            <w:pPr>
              <w:spacing w:line="440" w:lineRule="exact"/>
              <w:ind w:firstLine="420" w:firstLineChars="200"/>
              <w:rPr>
                <w:color w:val="000000"/>
              </w:rPr>
            </w:pPr>
            <w:r>
              <w:rPr>
                <w:rFonts w:hint="eastAsia"/>
                <w:color w:val="000000"/>
              </w:rPr>
              <w:t>认证申请范围：</w:t>
            </w:r>
          </w:p>
          <w:p>
            <w:pPr>
              <w:ind w:firstLine="420" w:firstLineChars="200"/>
              <w:rPr>
                <w:color w:val="000000"/>
              </w:rPr>
            </w:pPr>
            <w:r>
              <w:rPr>
                <w:rFonts w:hint="eastAsia"/>
                <w:color w:val="000000"/>
              </w:rPr>
              <w:t>Q：安检产品（毫米波安检系统）技术开发、技术服务；软件开发及计算机信息系统集成</w:t>
            </w:r>
          </w:p>
          <w:p>
            <w:pPr>
              <w:ind w:firstLine="420" w:firstLineChars="200"/>
              <w:rPr>
                <w:color w:val="000000"/>
              </w:rPr>
            </w:pPr>
            <w:r>
              <w:rPr>
                <w:rFonts w:hint="eastAsia"/>
                <w:color w:val="000000"/>
              </w:rPr>
              <w:t xml:space="preserve">E：安检产品（毫米波安检系统）技术开发、技术服务；软件开发及计算机信息系统集成所涉及场所的相关环境管理活动 </w:t>
            </w:r>
          </w:p>
          <w:p>
            <w:pPr>
              <w:ind w:firstLine="420" w:firstLineChars="200"/>
              <w:rPr>
                <w:color w:val="000000"/>
              </w:rPr>
            </w:pPr>
            <w:r>
              <w:rPr>
                <w:rFonts w:hint="eastAsia"/>
                <w:color w:val="000000"/>
              </w:rPr>
              <w:t>O：安检产品（毫米波安检系统）技术开发、技术服务；软件开发及计算机信息系统集成所涉及场所的相关职业健康安全管理活动</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注册地址：北京市西城区北纬路9号209J</w:t>
            </w:r>
            <w:r>
              <w:rPr>
                <w:color w:val="000000"/>
              </w:rPr>
              <w:t xml:space="preserve"> </w:t>
            </w:r>
          </w:p>
          <w:p>
            <w:pPr>
              <w:rPr>
                <w:color w:val="000000"/>
              </w:rPr>
            </w:pPr>
            <w:r>
              <w:rPr>
                <w:rFonts w:hint="eastAsia"/>
                <w:color w:val="000000"/>
              </w:rPr>
              <w:t>经营地址：北京市昌平区阳坊镇极东未来产业园新业一楼四层4095号</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rFonts w:hint="eastAsia"/>
                <w:color w:val="000000"/>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现场1：北京市海淀区翠微大厦</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ascii="Wingdings" w:hAnsi="Wingdings"/>
                <w:color w:val="000000"/>
              </w:rPr>
              <w:sym w:font="Wingdings" w:char="00FE"/>
            </w:r>
            <w:r>
              <w:rPr>
                <w:rFonts w:hint="eastAsia"/>
                <w:color w:val="000000"/>
              </w:rPr>
              <w:t xml:space="preserve">与组织总部在同一管理体系下运行     </w:t>
            </w:r>
          </w:p>
          <w:p>
            <w:pPr>
              <w:rPr>
                <w:color w:val="000000"/>
              </w:rPr>
            </w:pPr>
            <w:r>
              <w:rPr>
                <w:rFonts w:ascii="Wingdings" w:hAnsi="Wingdings"/>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总服务流程：</w:t>
            </w:r>
          </w:p>
          <w:p>
            <w:pPr>
              <w:rPr>
                <w:color w:val="000000"/>
              </w:rPr>
            </w:pPr>
            <w:r>
              <w:rPr>
                <w:rFonts w:hint="eastAsia"/>
                <w:color w:val="000000"/>
              </w:rPr>
              <w:t>市场调查—开发潜在客户—确定目标客户—具体业务对接—勘察现场—技术方案—软件开发、系统集成—跟进回款—售后—项目结束</w:t>
            </w:r>
          </w:p>
          <w:p>
            <w:pPr>
              <w:rPr>
                <w:color w:val="000000"/>
              </w:rPr>
            </w:pPr>
          </w:p>
          <w:p>
            <w:pPr>
              <w:rPr>
                <w:color w:val="000000"/>
              </w:rPr>
            </w:pPr>
            <w:r>
              <w:rPr>
                <w:rFonts w:hint="eastAsia"/>
                <w:color w:val="000000"/>
              </w:rPr>
              <w:t>其中，各流程：</w:t>
            </w:r>
          </w:p>
          <w:p>
            <w:pPr>
              <w:rPr>
                <w:color w:val="000000"/>
              </w:rPr>
            </w:pPr>
            <w:r>
              <w:rPr>
                <w:rFonts w:hint="eastAsia" w:ascii="宋体" w:hAnsi="宋体" w:cs="宋体"/>
                <w:color w:val="000000"/>
                <w:kern w:val="0"/>
                <w:szCs w:val="21"/>
              </w:rPr>
              <w:t>安检产品（毫米波安检系统）技术开发</w:t>
            </w:r>
            <w:r>
              <w:rPr>
                <w:rFonts w:hint="eastAsia" w:ascii="宋体" w:hAnsi="宋体" w:cs="宋体"/>
                <w:color w:val="000000"/>
                <w:kern w:val="0"/>
                <w:szCs w:val="21"/>
                <w:lang w:eastAsia="zh-CN"/>
              </w:rPr>
              <w:t>、</w:t>
            </w:r>
            <w:r>
              <w:rPr>
                <w:rFonts w:hint="eastAsia"/>
                <w:color w:val="000000"/>
              </w:rPr>
              <w:t>软件的开发流程：项目立项-计划-需求分析-设计开发-代码编写-系统测试-试运行-验收</w:t>
            </w:r>
          </w:p>
          <w:p>
            <w:pPr>
              <w:rPr>
                <w:color w:val="000000"/>
              </w:rPr>
            </w:pPr>
          </w:p>
          <w:p>
            <w:pPr>
              <w:rPr>
                <w:rFonts w:hint="eastAsia"/>
                <w:color w:val="000000"/>
              </w:rPr>
            </w:pPr>
            <w:r>
              <w:rPr>
                <w:rFonts w:hint="eastAsia"/>
                <w:color w:val="000000"/>
              </w:rPr>
              <w:t>计算机信息系统集成流程：勘察现场-技术方案-施工准备-采购调货-进场施工（线路敷设、设备安装、软件安装）-内部测试-试运行-客户终验；</w:t>
            </w:r>
          </w:p>
          <w:p>
            <w:pPr>
              <w:rPr>
                <w:rFonts w:ascii="Times New Roman" w:hAnsi="Times New Roman" w:eastAsia="宋体" w:cs="Times New Roman"/>
                <w:color w:val="000000"/>
              </w:rPr>
            </w:pPr>
            <w:r>
              <w:rPr>
                <w:rFonts w:hint="eastAsia" w:ascii="Times New Roman" w:hAnsi="Times New Roman" w:eastAsia="宋体" w:cs="Times New Roman"/>
                <w:color w:val="000000"/>
                <w:lang w:val="en-US" w:eastAsia="zh-CN"/>
              </w:rPr>
              <w:t>技术服务流程；客户需求—方案制定—运维—运维报告—客户确认</w:t>
            </w:r>
          </w:p>
          <w:p>
            <w:pPr>
              <w:rPr>
                <w:rFonts w:hint="eastAsia"/>
                <w:color w:val="000000"/>
              </w:rPr>
            </w:pPr>
            <w:bookmarkStart w:id="2" w:name="_GoBack"/>
            <w:bookmarkEnd w:id="2"/>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rPr>
                <w:color w:val="000000"/>
                <w:szCs w:val="18"/>
              </w:rPr>
            </w:pPr>
            <w:r>
              <w:rPr>
                <w:rFonts w:hint="eastAsia"/>
                <w:color w:val="000000"/>
                <w:szCs w:val="21"/>
              </w:rPr>
              <w:t>认证范围内管理体系覆盖的人数（总计</w:t>
            </w:r>
            <w:r>
              <w:rPr>
                <w:color w:val="000000"/>
                <w:szCs w:val="21"/>
              </w:rPr>
              <w:t>15</w:t>
            </w:r>
            <w:r>
              <w:rPr>
                <w:rFonts w:hint="eastAsia"/>
                <w:color w:val="000000"/>
                <w:szCs w:val="21"/>
              </w:rPr>
              <w:t>人）　</w:t>
            </w:r>
          </w:p>
          <w:p>
            <w:pPr>
              <w:rPr>
                <w:color w:val="000000"/>
                <w:szCs w:val="18"/>
              </w:rPr>
            </w:pPr>
            <w:r>
              <w:rPr>
                <w:rFonts w:hint="eastAsia"/>
                <w:color w:val="000000"/>
                <w:szCs w:val="18"/>
              </w:rPr>
              <w:t>管理人员</w:t>
            </w:r>
            <w:r>
              <w:rPr>
                <w:rFonts w:hint="eastAsia"/>
                <w:color w:val="000000"/>
                <w:szCs w:val="21"/>
              </w:rPr>
              <w:t>人5人</w:t>
            </w:r>
            <w:r>
              <w:rPr>
                <w:rFonts w:hint="eastAsia"/>
                <w:color w:val="000000"/>
                <w:szCs w:val="18"/>
              </w:rPr>
              <w:t>；操作人员</w:t>
            </w:r>
            <w:r>
              <w:rPr>
                <w:rFonts w:hint="eastAsia"/>
                <w:color w:val="000000"/>
                <w:szCs w:val="21"/>
              </w:rPr>
              <w:t>人10人</w:t>
            </w:r>
            <w:r>
              <w:rPr>
                <w:rFonts w:hint="eastAsia"/>
                <w:color w:val="000000"/>
                <w:szCs w:val="18"/>
              </w:rPr>
              <w:t>；劳务派遣人员</w:t>
            </w:r>
            <w:r>
              <w:rPr>
                <w:rFonts w:hint="eastAsia"/>
                <w:color w:val="000000"/>
                <w:szCs w:val="21"/>
              </w:rPr>
              <w:t>人0</w:t>
            </w:r>
            <w:r>
              <w:rPr>
                <w:rFonts w:hint="eastAsia"/>
                <w:color w:val="000000"/>
                <w:szCs w:val="18"/>
              </w:rPr>
              <w:t>；临时工</w:t>
            </w:r>
            <w:r>
              <w:rPr>
                <w:rFonts w:hint="eastAsia"/>
                <w:color w:val="000000"/>
                <w:szCs w:val="21"/>
              </w:rPr>
              <w:t>人0</w:t>
            </w:r>
            <w:r>
              <w:rPr>
                <w:rFonts w:hint="eastAsia"/>
                <w:color w:val="000000"/>
                <w:szCs w:val="18"/>
              </w:rPr>
              <w:t>；</w:t>
            </w:r>
            <w:r>
              <w:rPr>
                <w:rFonts w:hint="eastAsia"/>
                <w:color w:val="000000"/>
                <w:szCs w:val="21"/>
              </w:rPr>
              <w:t>季节工人0</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auto"/>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auto"/>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auto"/>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管理手册发布的时间：2021年1月3日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r>
              <w:rPr>
                <w:rFonts w:hint="eastAsia"/>
                <w:color w:val="000000"/>
                <w:szCs w:val="18"/>
              </w:rPr>
              <w:t>标准宣贯的时间：</w:t>
            </w:r>
            <w:r>
              <w:rPr>
                <w:rFonts w:hint="eastAsia"/>
              </w:rPr>
              <w:t>2021年1月3日</w:t>
            </w:r>
          </w:p>
          <w:p>
            <w:pPr>
              <w:rPr>
                <w:color w:val="000000"/>
                <w:szCs w:val="21"/>
              </w:rPr>
            </w:pPr>
            <w:r>
              <w:rPr>
                <w:rFonts w:hint="eastAsia"/>
                <w:color w:val="000000"/>
                <w:szCs w:val="21"/>
              </w:rPr>
              <w:sym w:font="Wingdings 2" w:char="0052"/>
            </w:r>
            <w:r>
              <w:rPr>
                <w:rFonts w:hint="eastAsia"/>
                <w:color w:val="000000"/>
                <w:szCs w:val="21"/>
              </w:rPr>
              <w:t xml:space="preserve">QMS  </w:t>
            </w:r>
            <w:r>
              <w:rPr>
                <w:rFonts w:hint="eastAsia"/>
                <w:color w:val="000000"/>
                <w:szCs w:val="21"/>
              </w:rPr>
              <w:sym w:font="Wingdings 2" w:char="0052"/>
            </w:r>
            <w:r>
              <w:rPr>
                <w:rFonts w:hint="eastAsia"/>
                <w:color w:val="000000"/>
                <w:szCs w:val="21"/>
              </w:rPr>
              <w:t xml:space="preserve">EMS  </w:t>
            </w:r>
            <w:r>
              <w:rPr>
                <w:rFonts w:hint="eastAsia"/>
                <w:color w:val="000000"/>
                <w:szCs w:val="21"/>
              </w:rPr>
              <w:sym w:font="Wingdings 2" w:char="0052"/>
            </w:r>
            <w:r>
              <w:rPr>
                <w:rFonts w:hint="eastAsia"/>
                <w:color w:val="000000"/>
                <w:szCs w:val="21"/>
              </w:rPr>
              <w:t xml:space="preserve">OHSMS  □FSMSMS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p>
          <w:p>
            <w:pPr>
              <w:widowControl/>
              <w:spacing w:before="40"/>
              <w:jc w:val="left"/>
              <w:rPr>
                <w:color w:val="000000"/>
                <w:spacing w:val="-2"/>
                <w:szCs w:val="21"/>
              </w:rPr>
            </w:pPr>
            <w:r>
              <w:rPr>
                <w:rFonts w:hint="eastAsia"/>
                <w:color w:val="000000"/>
                <w:spacing w:val="-2"/>
                <w:szCs w:val="21"/>
              </w:rPr>
              <w:t>诚信服务顾客满意，预防污染保护环境；</w:t>
            </w:r>
          </w:p>
          <w:p>
            <w:pPr>
              <w:widowControl/>
              <w:spacing w:before="40"/>
              <w:jc w:val="left"/>
              <w:rPr>
                <w:color w:val="000000"/>
                <w:spacing w:val="-2"/>
                <w:szCs w:val="21"/>
              </w:rPr>
            </w:pPr>
            <w:r>
              <w:rPr>
                <w:rFonts w:hint="eastAsia"/>
                <w:color w:val="000000"/>
                <w:spacing w:val="-2"/>
                <w:szCs w:val="21"/>
              </w:rPr>
              <w:t>关爱员工健康安全，持续改进追求卓越。</w:t>
            </w:r>
          </w:p>
          <w:p>
            <w:pPr>
              <w:widowControl/>
              <w:spacing w:before="40"/>
              <w:jc w:val="left"/>
              <w:rPr>
                <w:color w:val="000000"/>
                <w:spacing w:val="-2"/>
                <w:szCs w:val="21"/>
              </w:rPr>
            </w:pPr>
            <w:r>
              <w:rPr>
                <w:rFonts w:hint="eastAsia"/>
                <w:color w:val="000000"/>
                <w:spacing w:val="-2"/>
                <w:szCs w:val="21"/>
              </w:rPr>
              <w:t>贯彻情况：</w:t>
            </w:r>
            <w:r>
              <w:rPr>
                <w:rFonts w:hint="eastAsia"/>
                <w:color w:val="000000"/>
                <w:spacing w:val="-2"/>
                <w:szCs w:val="21"/>
              </w:rPr>
              <w:sym w:font="Wingdings 2" w:char="0052"/>
            </w:r>
            <w:r>
              <w:rPr>
                <w:rFonts w:hint="eastAsia"/>
                <w:color w:val="000000"/>
                <w:spacing w:val="-2"/>
                <w:szCs w:val="21"/>
              </w:rPr>
              <w:t>文件发放</w:t>
            </w:r>
            <w:r>
              <w:rPr>
                <w:rFonts w:hint="eastAsia"/>
                <w:color w:val="000000"/>
                <w:spacing w:val="-2"/>
                <w:szCs w:val="21"/>
              </w:rPr>
              <w:sym w:font="Wingdings 2" w:char="0052"/>
            </w:r>
            <w:r>
              <w:rPr>
                <w:rFonts w:hint="eastAsia"/>
                <w:color w:val="000000"/>
                <w:spacing w:val="-2"/>
                <w:szCs w:val="21"/>
              </w:rPr>
              <w:t xml:space="preserve">标语 </w:t>
            </w:r>
            <w:r>
              <w:rPr>
                <w:rFonts w:hint="eastAsia"/>
                <w:color w:val="000000"/>
                <w:spacing w:val="-2"/>
                <w:szCs w:val="21"/>
              </w:rPr>
              <w:sym w:font="Wingdings 2" w:char="0052"/>
            </w:r>
            <w:r>
              <w:rPr>
                <w:rFonts w:hint="eastAsia"/>
                <w:color w:val="000000"/>
                <w:spacing w:val="-2"/>
                <w:szCs w:val="21"/>
              </w:rPr>
              <w:t>展板□网站</w:t>
            </w:r>
            <w:r>
              <w:rPr>
                <w:rFonts w:hint="eastAsia"/>
                <w:color w:val="000000"/>
                <w:spacing w:val="-2"/>
                <w:szCs w:val="21"/>
              </w:rPr>
              <w:sym w:font="Wingdings 2" w:char="0052"/>
            </w:r>
            <w:r>
              <w:rPr>
                <w:rFonts w:hint="eastAsia"/>
                <w:color w:val="000000"/>
                <w:spacing w:val="-2"/>
                <w:szCs w:val="21"/>
              </w:rPr>
              <w:t>员工手册□</w:t>
            </w:r>
          </w:p>
          <w:p>
            <w:pPr>
              <w:widowControl/>
              <w:spacing w:before="40"/>
              <w:jc w:val="left"/>
              <w:rPr>
                <w:color w:val="000000"/>
                <w:spacing w:val="-2"/>
                <w:szCs w:val="21"/>
              </w:rPr>
            </w:pPr>
          </w:p>
          <w:p>
            <w:pPr>
              <w:widowControl/>
              <w:spacing w:before="40"/>
              <w:jc w:val="left"/>
              <w:rPr>
                <w:color w:val="000000"/>
                <w:szCs w:val="18"/>
              </w:rPr>
            </w:pPr>
            <w:r>
              <w:rPr>
                <w:rFonts w:hint="eastAsia"/>
                <w:color w:val="000000"/>
                <w:szCs w:val="18"/>
              </w:rPr>
              <w:t>组织文件化的管理目标已制定，内容为：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2546"/>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pPr>
                    <w:widowControl/>
                    <w:spacing w:before="40"/>
                    <w:jc w:val="left"/>
                    <w:rPr>
                      <w:color w:val="000000"/>
                      <w:szCs w:val="18"/>
                    </w:rPr>
                  </w:pPr>
                  <w:r>
                    <w:rPr>
                      <w:rFonts w:hint="eastAsia"/>
                      <w:color w:val="000000"/>
                      <w:szCs w:val="18"/>
                    </w:rPr>
                    <w:t>目标</w:t>
                  </w:r>
                </w:p>
              </w:tc>
              <w:tc>
                <w:tcPr>
                  <w:tcW w:w="2546" w:type="dxa"/>
                </w:tcPr>
                <w:p>
                  <w:pPr>
                    <w:widowControl/>
                    <w:spacing w:before="40"/>
                    <w:jc w:val="center"/>
                    <w:rPr>
                      <w:color w:val="000000"/>
                      <w:szCs w:val="18"/>
                    </w:rPr>
                  </w:pPr>
                  <w:r>
                    <w:rPr>
                      <w:rFonts w:hint="eastAsia"/>
                      <w:color w:val="000000"/>
                      <w:szCs w:val="18"/>
                    </w:rPr>
                    <w:t>统计数据</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6" w:type="dxa"/>
                </w:tcPr>
                <w:p>
                  <w:r>
                    <w:rPr>
                      <w:rFonts w:hint="eastAsia"/>
                    </w:rPr>
                    <w:t>产品一次交验合格率≥98%；</w:t>
                  </w:r>
                </w:p>
              </w:tc>
              <w:tc>
                <w:tcPr>
                  <w:tcW w:w="2546" w:type="dxa"/>
                  <w:vAlign w:val="center"/>
                </w:tcPr>
                <w:p>
                  <w:pPr>
                    <w:jc w:val="center"/>
                    <w:rPr>
                      <w:rFonts w:ascii="宋体" w:hAnsi="宋体" w:cs="宋体"/>
                      <w:kern w:val="0"/>
                      <w:sz w:val="18"/>
                      <w:szCs w:val="18"/>
                    </w:rPr>
                  </w:pPr>
                  <w:r>
                    <w:rPr>
                      <w:rFonts w:hint="eastAsia" w:ascii="宋体" w:hAnsi="宋体" w:cs="宋体"/>
                      <w:kern w:val="0"/>
                      <w:sz w:val="18"/>
                      <w:szCs w:val="18"/>
                    </w:rPr>
                    <w:t>100%</w:t>
                  </w:r>
                </w:p>
              </w:tc>
              <w:tc>
                <w:tcPr>
                  <w:tcW w:w="2444" w:type="dxa"/>
                  <w:vAlign w:val="center"/>
                </w:tcPr>
                <w:p>
                  <w:pPr>
                    <w:jc w:val="center"/>
                    <w:rPr>
                      <w:rFonts w:ascii="Calibri" w:hAnsi="Calibri"/>
                      <w:sz w:val="18"/>
                      <w:szCs w:val="18"/>
                    </w:rPr>
                  </w:pPr>
                  <w:r>
                    <w:rPr>
                      <w:rFonts w:hint="eastAsia" w:ascii="宋体" w:hAnsi="宋体" w:cs="宋体"/>
                      <w:kern w:val="0"/>
                      <w:sz w:val="18"/>
                      <w:szCs w:val="18"/>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r>
                    <w:rPr>
                      <w:rFonts w:hint="eastAsia"/>
                    </w:rPr>
                    <w:t>客户满意率≥95%</w:t>
                  </w:r>
                </w:p>
              </w:tc>
              <w:tc>
                <w:tcPr>
                  <w:tcW w:w="2546" w:type="dxa"/>
                  <w:vAlign w:val="center"/>
                </w:tcPr>
                <w:p>
                  <w:pPr>
                    <w:jc w:val="center"/>
                    <w:rPr>
                      <w:rFonts w:ascii="宋体" w:hAnsi="宋体" w:cs="宋体"/>
                      <w:kern w:val="0"/>
                      <w:sz w:val="18"/>
                      <w:szCs w:val="18"/>
                    </w:rPr>
                  </w:pPr>
                  <w:r>
                    <w:rPr>
                      <w:rFonts w:hint="eastAsia" w:ascii="宋体" w:hAnsi="宋体" w:cs="宋体"/>
                      <w:kern w:val="0"/>
                      <w:szCs w:val="21"/>
                      <w:lang w:val="en-US" w:eastAsia="zh-CN"/>
                    </w:rPr>
                    <w:t>98</w:t>
                  </w:r>
                  <w:r>
                    <w:rPr>
                      <w:rFonts w:hint="eastAsia" w:ascii="宋体" w:hAnsi="宋体" w:cs="宋体"/>
                      <w:kern w:val="0"/>
                      <w:szCs w:val="21"/>
                    </w:rPr>
                    <w:t>%</w:t>
                  </w:r>
                </w:p>
              </w:tc>
              <w:tc>
                <w:tcPr>
                  <w:tcW w:w="2444" w:type="dxa"/>
                  <w:vAlign w:val="center"/>
                </w:tcPr>
                <w:p>
                  <w:pPr>
                    <w:jc w:val="center"/>
                    <w:rPr>
                      <w:rFonts w:ascii="Calibri" w:hAnsi="Calibri"/>
                      <w:sz w:val="18"/>
                      <w:szCs w:val="18"/>
                    </w:rPr>
                  </w:pPr>
                  <w:r>
                    <w:rPr>
                      <w:rFonts w:hint="eastAsia" w:ascii="宋体" w:hAnsi="宋体" w:cs="宋体"/>
                      <w:kern w:val="0"/>
                      <w:sz w:val="18"/>
                      <w:szCs w:val="18"/>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r>
                    <w:rPr>
                      <w:rFonts w:hint="eastAsia"/>
                    </w:rPr>
                    <w:t>固体废弃物和危废处理率达100%</w:t>
                  </w:r>
                </w:p>
              </w:tc>
              <w:tc>
                <w:tcPr>
                  <w:tcW w:w="2546" w:type="dxa"/>
                  <w:vAlign w:val="center"/>
                </w:tcPr>
                <w:p>
                  <w:pPr>
                    <w:jc w:val="center"/>
                    <w:rPr>
                      <w:rFonts w:ascii="宋体" w:hAnsi="宋体" w:cs="宋体"/>
                      <w:kern w:val="0"/>
                      <w:sz w:val="18"/>
                      <w:szCs w:val="18"/>
                    </w:rPr>
                  </w:pPr>
                  <w:r>
                    <w:rPr>
                      <w:rFonts w:hint="eastAsia" w:ascii="宋体" w:hAnsi="宋体" w:cs="宋体"/>
                      <w:kern w:val="0"/>
                      <w:szCs w:val="21"/>
                    </w:rPr>
                    <w:t>100%</w:t>
                  </w:r>
                </w:p>
              </w:tc>
              <w:tc>
                <w:tcPr>
                  <w:tcW w:w="2444" w:type="dxa"/>
                  <w:vAlign w:val="center"/>
                </w:tcPr>
                <w:p>
                  <w:pPr>
                    <w:jc w:val="center"/>
                    <w:rPr>
                      <w:rFonts w:ascii="Calibri" w:hAnsi="Calibri"/>
                      <w:sz w:val="18"/>
                      <w:szCs w:val="18"/>
                    </w:rPr>
                  </w:pPr>
                  <w:r>
                    <w:rPr>
                      <w:rFonts w:hint="eastAsia" w:ascii="宋体" w:hAnsi="宋体" w:cs="宋体"/>
                      <w:kern w:val="0"/>
                      <w:sz w:val="18"/>
                      <w:szCs w:val="18"/>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r>
                    <w:rPr>
                      <w:rFonts w:hint="eastAsia"/>
                    </w:rPr>
                    <w:t>重大安全事故为0</w:t>
                  </w:r>
                </w:p>
              </w:tc>
              <w:tc>
                <w:tcPr>
                  <w:tcW w:w="2546" w:type="dxa"/>
                  <w:vAlign w:val="center"/>
                </w:tcPr>
                <w:p>
                  <w:pPr>
                    <w:jc w:val="center"/>
                    <w:rPr>
                      <w:rFonts w:ascii="宋体" w:hAnsi="宋体" w:cs="宋体"/>
                      <w:kern w:val="0"/>
                      <w:sz w:val="18"/>
                      <w:szCs w:val="18"/>
                    </w:rPr>
                  </w:pPr>
                  <w:r>
                    <w:rPr>
                      <w:rFonts w:hint="eastAsia" w:ascii="宋体" w:hAnsi="宋体" w:cs="宋体"/>
                      <w:kern w:val="0"/>
                      <w:sz w:val="18"/>
                      <w:szCs w:val="18"/>
                    </w:rPr>
                    <w:t>0</w:t>
                  </w:r>
                </w:p>
              </w:tc>
              <w:tc>
                <w:tcPr>
                  <w:tcW w:w="2444" w:type="dxa"/>
                  <w:vAlign w:val="center"/>
                </w:tcPr>
                <w:p>
                  <w:pPr>
                    <w:jc w:val="center"/>
                    <w:rPr>
                      <w:rFonts w:ascii="宋体" w:hAnsi="宋体" w:cs="宋体"/>
                      <w:kern w:val="0"/>
                      <w:sz w:val="18"/>
                      <w:szCs w:val="18"/>
                    </w:rPr>
                  </w:pPr>
                  <w:r>
                    <w:rPr>
                      <w:rFonts w:hint="eastAsia" w:ascii="宋体" w:hAnsi="宋体" w:cs="宋体"/>
                      <w:kern w:val="0"/>
                      <w:sz w:val="18"/>
                      <w:szCs w:val="18"/>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r>
                    <w:rPr>
                      <w:rFonts w:hint="eastAsia"/>
                    </w:rPr>
                    <w:t>火灾事故发生率为0</w:t>
                  </w:r>
                </w:p>
              </w:tc>
              <w:tc>
                <w:tcPr>
                  <w:tcW w:w="2546" w:type="dxa"/>
                  <w:vAlign w:val="center"/>
                </w:tcPr>
                <w:p>
                  <w:pPr>
                    <w:jc w:val="center"/>
                    <w:rPr>
                      <w:rFonts w:ascii="宋体" w:hAnsi="宋体" w:cs="宋体"/>
                      <w:kern w:val="0"/>
                      <w:sz w:val="18"/>
                      <w:szCs w:val="18"/>
                    </w:rPr>
                  </w:pPr>
                  <w:r>
                    <w:rPr>
                      <w:rFonts w:hint="eastAsia" w:ascii="宋体" w:hAnsi="宋体" w:cs="宋体"/>
                      <w:kern w:val="0"/>
                      <w:sz w:val="18"/>
                      <w:szCs w:val="18"/>
                    </w:rPr>
                    <w:t>0</w:t>
                  </w:r>
                </w:p>
              </w:tc>
              <w:tc>
                <w:tcPr>
                  <w:tcW w:w="2444" w:type="dxa"/>
                  <w:vAlign w:val="center"/>
                </w:tcPr>
                <w:p>
                  <w:pPr>
                    <w:jc w:val="center"/>
                    <w:rPr>
                      <w:rFonts w:ascii="宋体" w:hAnsi="宋体" w:cs="宋体"/>
                      <w:kern w:val="0"/>
                      <w:sz w:val="18"/>
                      <w:szCs w:val="18"/>
                    </w:rPr>
                  </w:pPr>
                  <w:r>
                    <w:rPr>
                      <w:rFonts w:hint="eastAsia" w:ascii="宋体" w:hAnsi="宋体" w:cs="宋体"/>
                      <w:kern w:val="0"/>
                      <w:sz w:val="18"/>
                      <w:szCs w:val="18"/>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6" w:type="dxa"/>
                </w:tcPr>
                <w:p>
                  <w:r>
                    <w:rPr>
                      <w:rFonts w:hint="eastAsia"/>
                    </w:rPr>
                    <w:t>产品一次交验合格率≥98%；</w:t>
                  </w:r>
                </w:p>
              </w:tc>
              <w:tc>
                <w:tcPr>
                  <w:tcW w:w="2546" w:type="dxa"/>
                  <w:vAlign w:val="center"/>
                </w:tcPr>
                <w:p>
                  <w:pPr>
                    <w:jc w:val="center"/>
                    <w:rPr>
                      <w:rFonts w:ascii="宋体" w:hAnsi="宋体" w:cs="宋体"/>
                      <w:kern w:val="0"/>
                      <w:sz w:val="18"/>
                      <w:szCs w:val="18"/>
                    </w:rPr>
                  </w:pPr>
                  <w:r>
                    <w:rPr>
                      <w:rFonts w:hint="eastAsia" w:ascii="宋体" w:hAnsi="宋体" w:cs="宋体"/>
                      <w:kern w:val="0"/>
                      <w:szCs w:val="21"/>
                    </w:rPr>
                    <w:t>100%</w:t>
                  </w:r>
                </w:p>
              </w:tc>
              <w:tc>
                <w:tcPr>
                  <w:tcW w:w="2444" w:type="dxa"/>
                  <w:vAlign w:val="center"/>
                </w:tcPr>
                <w:p>
                  <w:pPr>
                    <w:jc w:val="center"/>
                    <w:rPr>
                      <w:rFonts w:ascii="宋体" w:hAnsi="宋体" w:cs="宋体"/>
                      <w:kern w:val="0"/>
                      <w:sz w:val="18"/>
                      <w:szCs w:val="18"/>
                    </w:rPr>
                  </w:pPr>
                  <w:r>
                    <w:rPr>
                      <w:rFonts w:hint="eastAsia" w:ascii="宋体" w:hAnsi="宋体" w:cs="宋体"/>
                      <w:kern w:val="0"/>
                      <w:sz w:val="18"/>
                      <w:szCs w:val="18"/>
                    </w:rPr>
                    <w:t>已完成</w:t>
                  </w: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 xml:space="preserve">-《管理手册》1份；覆盖了 </w:t>
            </w:r>
            <w:r>
              <w:rPr>
                <w:rFonts w:hint="eastAsia"/>
                <w:color w:val="000000"/>
                <w:szCs w:val="21"/>
              </w:rPr>
              <w:sym w:font="Wingdings 2" w:char="0052"/>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sym w:font="Wingdings 2" w:char="0052"/>
            </w:r>
            <w:r>
              <w:rPr>
                <w:color w:val="000000"/>
                <w:spacing w:val="-2"/>
                <w:szCs w:val="21"/>
              </w:rPr>
              <w:t xml:space="preserve">EMS </w:t>
            </w:r>
            <w:r>
              <w:rPr>
                <w:rFonts w:hint="eastAsia"/>
                <w:color w:val="000000"/>
                <w:szCs w:val="21"/>
              </w:rPr>
              <w:sym w:font="Wingdings 2" w:char="0052"/>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-文件化的程序；28份；详见《程 序 文 件》</w:t>
            </w:r>
          </w:p>
          <w:p>
            <w:pPr>
              <w:rPr>
                <w:color w:val="000000"/>
                <w:szCs w:val="18"/>
              </w:rPr>
            </w:pPr>
            <w:r>
              <w:rPr>
                <w:rFonts w:hint="eastAsia"/>
                <w:color w:val="000000"/>
                <w:szCs w:val="18"/>
              </w:rPr>
              <w:t>-作业文件；24份；详见《管理文件》</w:t>
            </w:r>
          </w:p>
          <w:p>
            <w:pPr>
              <w:rPr>
                <w:color w:val="000000"/>
              </w:rPr>
            </w:pPr>
            <w:r>
              <w:rPr>
                <w:rFonts w:hint="eastAsia"/>
                <w:color w:val="000000"/>
                <w:szCs w:val="18"/>
              </w:rPr>
              <w:t>-记录表格；82份；详见《记录清单》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内审的策划和实施</w:t>
            </w:r>
          </w:p>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管理体系的评审</w:t>
            </w:r>
          </w:p>
          <w:p>
            <w:pPr>
              <w:widowControl/>
              <w:spacing w:before="40"/>
              <w:jc w:val="left"/>
              <w:rPr>
                <w:rFonts w:hint="eastAsia" w:ascii="Times New Roman" w:hAnsi="Times New Roman" w:eastAsia="宋体" w:cs="Times New Roman"/>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自管理体系建立后，于2021年11月20日实施了内部审核；记录包括：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ascii="宋体" w:hAnsi="宋体"/>
                <w:szCs w:val="21"/>
              </w:rPr>
              <w:t>2021-12-5</w:t>
            </w:r>
            <w:r>
              <w:rPr>
                <w:rFonts w:hint="eastAsia"/>
                <w:color w:val="000000"/>
                <w:szCs w:val="18"/>
              </w:rPr>
              <w:t>实施了管理评审；</w:t>
            </w:r>
          </w:p>
          <w:p>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QMS运行情况及不适用条款：</w:t>
            </w:r>
          </w:p>
          <w:p>
            <w:pPr>
              <w:widowControl/>
              <w:spacing w:before="40"/>
              <w:jc w:val="left"/>
              <w:rPr>
                <w:rFonts w:hint="eastAsia" w:ascii="Times New Roman" w:hAnsi="Times New Roman" w:eastAsia="宋体" w:cs="Times New Roman"/>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hint="eastAsia" w:eastAsia="宋体"/>
                <w:color w:val="000000"/>
                <w:szCs w:val="18"/>
                <w:u w:val="single"/>
                <w:lang w:val="en-US" w:eastAsia="zh-CN"/>
              </w:rPr>
            </w:pPr>
            <w:r>
              <w:rPr>
                <w:rFonts w:hint="eastAsia"/>
                <w:color w:val="000000"/>
                <w:szCs w:val="18"/>
              </w:rPr>
              <w:t xml:space="preserve">QMS不适用条款1   </w:t>
            </w:r>
            <w:r>
              <w:rPr>
                <w:rFonts w:hint="eastAsia"/>
                <w:color w:val="000000"/>
                <w:szCs w:val="18"/>
                <w:lang w:val="en-US" w:eastAsia="zh-CN"/>
              </w:rPr>
              <w:t>无</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rPr>
              <w:t xml:space="preserve"> </w:t>
            </w:r>
          </w:p>
          <w:p>
            <w:pPr>
              <w:rPr>
                <w:color w:val="000000"/>
                <w:szCs w:val="18"/>
              </w:rPr>
            </w:pPr>
            <w:r>
              <w:rPr>
                <w:rFonts w:hint="eastAsia"/>
                <w:color w:val="000000"/>
                <w:szCs w:val="18"/>
              </w:rPr>
              <w:t>合理理由的详细说明：</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rPr>
            </w:pPr>
          </w:p>
          <w:p>
            <w:pPr>
              <w:rPr>
                <w:color w:val="000000"/>
              </w:rPr>
            </w:pPr>
            <w:r>
              <w:rPr>
                <w:rFonts w:hint="eastAsia"/>
                <w:color w:val="000000"/>
              </w:rPr>
              <w:t>质量关键过程（工序）：服务过程       相关控制参数名称：《产品和服务的要求控制程序》；</w:t>
            </w:r>
          </w:p>
          <w:p>
            <w:pPr>
              <w:rPr>
                <w:color w:val="000000"/>
              </w:rPr>
            </w:pPr>
          </w:p>
          <w:p>
            <w:pPr>
              <w:rPr>
                <w:color w:val="000000"/>
              </w:rPr>
            </w:pPr>
            <w:r>
              <w:rPr>
                <w:rFonts w:hint="eastAsia"/>
                <w:color w:val="000000"/>
              </w:rPr>
              <w:t>需要确认的过程（工序）：服务过程；</w:t>
            </w:r>
          </w:p>
          <w:p>
            <w:pPr>
              <w:rPr>
                <w:color w:val="000000"/>
              </w:rPr>
            </w:pPr>
            <w:r>
              <w:rPr>
                <w:rFonts w:hint="eastAsia"/>
                <w:color w:val="000000"/>
              </w:rPr>
              <w:t>确认的内容：</w:t>
            </w:r>
            <w:r>
              <w:rPr>
                <w:rFonts w:hint="eastAsia"/>
                <w:color w:val="000000"/>
                <w:szCs w:val="21"/>
              </w:rPr>
              <w:sym w:font="Wingdings 2" w:char="0052"/>
            </w:r>
            <w:r>
              <w:rPr>
                <w:rFonts w:hint="eastAsia"/>
                <w:color w:val="000000"/>
              </w:rPr>
              <w:t>人员技能、</w:t>
            </w:r>
            <w:r>
              <w:rPr>
                <w:rFonts w:hint="eastAsia"/>
                <w:color w:val="000000"/>
                <w:szCs w:val="21"/>
              </w:rPr>
              <w:sym w:font="Wingdings 2" w:char="0052"/>
            </w:r>
            <w:r>
              <w:rPr>
                <w:rFonts w:hint="eastAsia"/>
                <w:color w:val="000000"/>
              </w:rPr>
              <w:t>设备能力、□原料控制、R工艺方法、R工作环境、□破坏性试验</w:t>
            </w:r>
          </w:p>
          <w:p>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设备能力、□原料控制、</w:t>
            </w:r>
            <w:r>
              <w:rPr>
                <w:rFonts w:hint="eastAsia"/>
                <w:color w:val="000000"/>
                <w:szCs w:val="21"/>
              </w:rPr>
              <w:sym w:font="Wingdings 2" w:char="0052"/>
            </w:r>
            <w:r>
              <w:rPr>
                <w:rFonts w:hint="eastAsia"/>
                <w:color w:val="000000"/>
                <w:szCs w:val="21"/>
              </w:rPr>
              <w:t>工艺方法、</w:t>
            </w:r>
            <w:r>
              <w:rPr>
                <w:rFonts w:hint="eastAsia"/>
                <w:color w:val="000000"/>
                <w:szCs w:val="21"/>
              </w:rPr>
              <w:sym w:font="Wingdings 2" w:char="0052"/>
            </w:r>
            <w:r>
              <w:rPr>
                <w:rFonts w:hint="eastAsia"/>
                <w:color w:val="000000"/>
                <w:szCs w:val="21"/>
              </w:rPr>
              <w:t>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 xml:space="preserve">客户要求、□国际标准、□国家标准、□行业标准、□地方标准、□企业标准、□企业技术规范 </w:t>
            </w:r>
          </w:p>
          <w:p>
            <w:pPr>
              <w:rPr>
                <w:color w:val="000000"/>
                <w:szCs w:val="21"/>
              </w:rPr>
            </w:pPr>
            <w:r>
              <w:rPr>
                <w:rFonts w:hint="eastAsia"/>
                <w:color w:val="000000"/>
                <w:szCs w:val="21"/>
              </w:rPr>
              <w:t>□其他：</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 xml:space="preserve">□正常情况下至少个月一次； □原辅材料有较大变化。；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rPr>
                <w:color w:val="000000"/>
              </w:rPr>
            </w:pPr>
            <w:r>
              <w:rPr>
                <w:rFonts w:hint="eastAsia"/>
                <w:color w:val="000000"/>
              </w:rPr>
              <w:t xml:space="preserve">近一年产品召回的情况。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近一年顾客不满意度的情况，</w:t>
            </w:r>
            <w:r>
              <w:rPr>
                <w:rFonts w:hint="eastAsia"/>
                <w:color w:val="000000"/>
                <w:szCs w:val="21"/>
              </w:rPr>
              <w:sym w:font="Wingdings 2" w:char="0052"/>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☑办公</w:t>
            </w:r>
            <w:r>
              <w:rPr>
                <w:rFonts w:hint="eastAsia"/>
                <w:color w:val="000000"/>
              </w:rPr>
              <w:t>区、</w:t>
            </w:r>
            <w:r>
              <w:rPr>
                <w:rFonts w:hint="eastAsia"/>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；电脑、电话、打印机、等碎纸机等</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；卷尺，万用表，频谱仪，数采（8通道）</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sym w:font="Wingdings 2" w:char="0052"/>
            </w:r>
            <w:r>
              <w:rPr>
                <w:rFonts w:hint="eastAsia"/>
                <w:color w:val="000000"/>
              </w:rPr>
              <w:t xml:space="preserve">校准受控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 xml:space="preserve">观察使用特种设备的种类并了解定期检测和备案登记情况 </w:t>
            </w:r>
            <w:r>
              <w:rPr>
                <w:rFonts w:hint="eastAsia"/>
                <w:color w:val="000000"/>
                <w:u w:val="single"/>
              </w:rPr>
              <w:t xml:space="preserve"> 不涉及</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t></w:t>
            </w:r>
            <w:r>
              <w:rPr>
                <w:rFonts w:hint="eastAsia"/>
                <w:color w:val="000000"/>
              </w:rPr>
              <w:t xml:space="preserve">湿度    </w:t>
            </w:r>
            <w:r>
              <w:rPr>
                <w:rFonts w:ascii="Wingdings" w:hAnsi="Wingdings"/>
                <w:color w:val="000000"/>
              </w:rPr>
              <w:sym w:font="Wingdings" w:char="00FE"/>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非歧视   </w:t>
            </w:r>
            <w:r>
              <w:rPr>
                <w:rFonts w:ascii="Wingdings" w:hAnsi="Wingdings"/>
                <w:color w:val="000000"/>
              </w:rPr>
              <w:sym w:font="Wingdings" w:char="00FE"/>
            </w:r>
            <w:r>
              <w:rPr>
                <w:rFonts w:hint="eastAsia"/>
                <w:color w:val="000000"/>
              </w:rPr>
              <w:t xml:space="preserve">非对抗   </w:t>
            </w:r>
            <w:r>
              <w:rPr>
                <w:rFonts w:ascii="Wingdings" w:hAnsi="Wingdings"/>
                <w:color w:val="000000"/>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sym w:font="Wingdings" w:char="00FE"/>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确认环境影响评价的种类：不适用</w:t>
            </w:r>
          </w:p>
          <w:p>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     不适用</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p>
          <w:p>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pPr>
              <w:rPr>
                <w:color w:val="000000"/>
              </w:rPr>
            </w:pPr>
          </w:p>
          <w:p>
            <w:pPr>
              <w:rPr>
                <w:color w:val="000000"/>
                <w:szCs w:val="18"/>
                <w:u w:val="single"/>
              </w:rPr>
            </w:pPr>
            <w:r>
              <w:rPr>
                <w:color w:val="000000"/>
                <w:szCs w:val="18"/>
              </w:rPr>
              <w:t>查看《排污许可证》</w:t>
            </w:r>
            <w:r>
              <w:rPr>
                <w:rFonts w:hint="eastAsia"/>
                <w:color w:val="000000"/>
                <w:szCs w:val="18"/>
              </w:rPr>
              <w:t>编号：不适用</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p>
          <w:p>
            <w:pPr>
              <w:rPr>
                <w:color w:val="000000"/>
                <w:szCs w:val="18"/>
              </w:rPr>
            </w:pPr>
            <w:r>
              <w:rPr>
                <w:rFonts w:hint="eastAsia"/>
                <w:color w:val="000000"/>
                <w:szCs w:val="18"/>
              </w:rPr>
              <w:t>- 查看环境因素的识别的充分性</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-查看合规性证明（9</w:t>
            </w:r>
            <w:r>
              <w:rPr>
                <w:color w:val="000000"/>
                <w:szCs w:val="18"/>
              </w:rPr>
              <w:t>8</w:t>
            </w:r>
            <w:r>
              <w:rPr>
                <w:rFonts w:hint="eastAsia"/>
                <w:color w:val="000000"/>
                <w:szCs w:val="18"/>
              </w:rPr>
              <w:t>年后新扩建的环评验收、环境监测报告） 不适用</w:t>
            </w:r>
          </w:p>
          <w:p>
            <w:pPr>
              <w:rPr>
                <w:color w:val="000000"/>
                <w:szCs w:val="18"/>
                <w:u w:val="single"/>
              </w:rPr>
            </w:pPr>
            <w:r>
              <w:rPr>
                <w:rFonts w:hint="eastAsia"/>
                <w:color w:val="000000"/>
                <w:szCs w:val="18"/>
              </w:rPr>
              <w:t>《环评验收报告》编号：颁发日期：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《环境监测报告》编号：颁发日期：</w:t>
            </w:r>
            <w:r>
              <w:rPr>
                <w:rFonts w:hint="eastAsia"/>
                <w:color w:val="000000"/>
                <w:szCs w:val="18"/>
                <w:u w:val="single"/>
              </w:rPr>
              <w:t xml:space="preserve">        年     月     日   </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-了解危险化学品的种类——  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-了解危险化学品的MSDS的收集情况  不适用</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-了解危险废弃物的种类——  不适用</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sym w:font="Wingdings" w:char="00FE"/>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rFonts w:hint="default" w:eastAsia="宋体"/>
                <w:color w:val="000000"/>
                <w:szCs w:val="18"/>
                <w:lang w:val="en-US" w:eastAsia="zh-CN"/>
              </w:rPr>
            </w:pPr>
            <w:r>
              <w:rPr>
                <w:rFonts w:hint="eastAsia"/>
                <w:color w:val="000000"/>
                <w:szCs w:val="18"/>
              </w:rPr>
              <w:t>- 了解特种作业人员的状况</w:t>
            </w:r>
            <w:r>
              <w:rPr>
                <w:rFonts w:hint="eastAsia"/>
                <w:color w:val="000000"/>
                <w:szCs w:val="18"/>
                <w:lang w:eastAsia="zh-CN"/>
              </w:rPr>
              <w:t>：</w:t>
            </w:r>
            <w:r>
              <w:rPr>
                <w:rFonts w:hint="eastAsia"/>
                <w:color w:val="000000"/>
                <w:szCs w:val="18"/>
                <w:lang w:val="en-US" w:eastAsia="zh-CN"/>
              </w:rPr>
              <w:t>无</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  不适用</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sym w:font="Wingdings" w:char="00FE"/>
            </w:r>
            <w:r>
              <w:rPr>
                <w:rFonts w:hint="eastAsia"/>
                <w:color w:val="000000"/>
                <w:szCs w:val="18"/>
              </w:rPr>
              <w:t xml:space="preserve">商业区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sym w:font="Wingdings" w:char="00FE"/>
            </w:r>
            <w:r>
              <w:rPr>
                <w:rFonts w:hint="eastAsia"/>
                <w:color w:val="000000"/>
              </w:rPr>
              <w:t xml:space="preserve">水   </w:t>
            </w:r>
            <w:r>
              <w:rPr>
                <w:rFonts w:ascii="Wingdings" w:hAnsi="Wingdings"/>
                <w:color w:val="000000"/>
              </w:rPr>
              <w:sym w:font="Wingdings" w:char="00FE"/>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 不适用</w:t>
            </w:r>
          </w:p>
          <w:p>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p>
          <w:p>
            <w:pPr>
              <w:rPr>
                <w:color w:val="000000"/>
              </w:rPr>
            </w:pPr>
          </w:p>
          <w:p>
            <w:pPr>
              <w:rPr>
                <w:color w:val="000000"/>
                <w:szCs w:val="18"/>
              </w:rPr>
            </w:pPr>
            <w:r>
              <w:rPr>
                <w:rFonts w:hint="eastAsia"/>
                <w:color w:val="000000"/>
                <w:szCs w:val="18"/>
              </w:rPr>
              <w:t>- 查看危险源的辨识的充分性</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-查看合规性证明（作业场所有害物质监测报告、职业病体检报告） 不适用</w:t>
            </w:r>
          </w:p>
          <w:p>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《职业病体检报告》编号：颁发日期：</w:t>
            </w:r>
            <w:r>
              <w:rPr>
                <w:rFonts w:hint="eastAsia"/>
                <w:color w:val="000000"/>
                <w:szCs w:val="18"/>
                <w:u w:val="single"/>
              </w:rPr>
              <w:t xml:space="preserve">        年     月     日    </w:t>
            </w:r>
            <w:r>
              <w:rPr>
                <w:rFonts w:hint="eastAsia"/>
                <w:color w:val="000000"/>
                <w:szCs w:val="18"/>
              </w:rPr>
              <w:t>不适用</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-了解危险化学品的种类及MSDS  不适用</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-了解危险废弃物的种类   不适用</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-了解消防控制状况（消防备案或消防验收）  不适用</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-了解防静电/防雷控制状况  不适用</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2021年10月19日进行了火灾应急演练，2021年05月12日进行了触电事故应急预案模拟演练</w:t>
            </w:r>
          </w:p>
          <w:p>
            <w:pPr>
              <w:rPr>
                <w:color w:val="000000"/>
                <w:szCs w:val="18"/>
              </w:rPr>
            </w:pPr>
            <w:r>
              <w:rPr>
                <w:rFonts w:hint="eastAsia"/>
                <w:color w:val="000000"/>
                <w:szCs w:val="18"/>
              </w:rPr>
              <w:t>-了解特种作业人员的状况  不适用</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-了解特种设备作业人员的状况   不适用</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pPr>
              <w:widowControl/>
              <w:spacing w:before="40"/>
              <w:ind w:firstLine="210" w:firstLineChars="100"/>
              <w:jc w:val="left"/>
              <w:rPr>
                <w:color w:val="000000"/>
                <w:szCs w:val="21"/>
              </w:rPr>
            </w:pPr>
            <w:r>
              <w:rPr>
                <w:rFonts w:ascii="Wingdings" w:hAnsi="Wingdings"/>
                <w:color w:val="000000"/>
              </w:rPr>
              <w:t></w:t>
            </w:r>
            <w:r>
              <w:rPr>
                <w:rFonts w:hint="eastAsia" w:ascii="PMingLiU" w:hAnsi="PMingLiU" w:eastAsia="PMingLiU" w:cs="PMingLiU"/>
                <w:color w:val="000000"/>
                <w:kern w:val="0"/>
                <w:sz w:val="24"/>
              </w:rPr>
              <w:t>客运索道</w:t>
            </w:r>
            <w:r>
              <w:rPr>
                <w:rFonts w:ascii="Wingdings" w:hAnsi="Wingdings"/>
                <w:color w:val="000000"/>
              </w:rPr>
              <w:t></w:t>
            </w:r>
            <w:r>
              <w:rPr>
                <w:rFonts w:hint="eastAsia" w:ascii="PMingLiU" w:hAnsi="PMingLiU" w:eastAsia="PMingLiU" w:cs="PMingLiU"/>
                <w:color w:val="000000"/>
                <w:kern w:val="0"/>
                <w:sz w:val="24"/>
              </w:rPr>
              <w:t>大型游乐设施</w:t>
            </w:r>
          </w:p>
          <w:p>
            <w:pPr>
              <w:ind w:firstLine="210" w:firstLineChars="100"/>
              <w:rPr>
                <w:color w:val="000000"/>
                <w:u w:val="single"/>
              </w:rPr>
            </w:pPr>
          </w:p>
          <w:p>
            <w:pPr>
              <w:rPr>
                <w:color w:val="000000"/>
                <w:szCs w:val="18"/>
              </w:rPr>
            </w:pPr>
            <w:r>
              <w:rPr>
                <w:rFonts w:hint="eastAsia"/>
                <w:color w:val="000000"/>
                <w:szCs w:val="18"/>
              </w:rPr>
              <w:t>-了解三级安全教育的实施</w:t>
            </w:r>
          </w:p>
          <w:p>
            <w:pPr>
              <w:ind w:firstLine="210" w:firstLineChars="100"/>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ind w:firstLine="210" w:firstLineChars="100"/>
              <w:rPr>
                <w:color w:val="000000"/>
                <w:u w:val="single"/>
              </w:rPr>
            </w:pPr>
          </w:p>
          <w:p>
            <w:pPr>
              <w:rPr>
                <w:color w:val="000000"/>
                <w:szCs w:val="18"/>
              </w:rPr>
            </w:pP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t></w:t>
            </w:r>
            <w:r>
              <w:rPr>
                <w:rFonts w:hint="eastAsia"/>
                <w:color w:val="000000"/>
              </w:rPr>
              <w:t xml:space="preserve">工业区   </w:t>
            </w:r>
            <w:r>
              <w:rPr>
                <w:rFonts w:hint="eastAsia"/>
                <w:color w:val="000000"/>
                <w:szCs w:val="21"/>
              </w:rPr>
              <w:t>□</w:t>
            </w:r>
            <w:r>
              <w:rPr>
                <w:rFonts w:hint="eastAsia"/>
                <w:color w:val="000000"/>
                <w:szCs w:val="18"/>
              </w:rPr>
              <w:t>商业区</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固体废弃物  </w:t>
            </w:r>
            <w:r>
              <w:rPr>
                <w:rFonts w:ascii="Wingdings" w:hAnsi="Wingdings"/>
                <w:color w:val="000000"/>
              </w:rPr>
              <w:sym w:font="Wingdings" w:char="00FE"/>
            </w:r>
            <w:r>
              <w:rPr>
                <w:rFonts w:hint="eastAsia"/>
                <w:color w:val="000000"/>
              </w:rPr>
              <w:t>其他：墨盒、硒鼓。</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 xml:space="preserve">绝缘手套 </w:t>
            </w:r>
            <w:r>
              <w:rPr>
                <w:rFonts w:ascii="Wingdings" w:hAnsi="Wingdings"/>
                <w:color w:val="000000"/>
              </w:rPr>
              <w:t></w:t>
            </w:r>
            <w:r>
              <w:rPr>
                <w:rFonts w:hint="eastAsia"/>
                <w:color w:val="000000"/>
                <w:szCs w:val="21"/>
              </w:rPr>
              <w:t xml:space="preserve">防砸鞋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sym w:font="Wingdings" w:char="00FE"/>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sym w:font="Wingdings" w:char="00FE"/>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w:t>
            </w:r>
            <w:r>
              <w:rPr>
                <w:rFonts w:hint="eastAsia"/>
                <w:color w:val="000000"/>
                <w:sz w:val="21"/>
                <w:szCs w:val="21"/>
              </w:rPr>
              <w:sym w:font="Wingdings 2" w:char="0052"/>
            </w:r>
            <w:r>
              <w:rPr>
                <w:rFonts w:hint="eastAsia"/>
                <w:color w:val="000000"/>
                <w:sz w:val="21"/>
                <w:szCs w:val="21"/>
              </w:rPr>
              <w:t xml:space="preserve">领导层可以迎审  □交通食宿  □劳保用品  </w:t>
            </w:r>
          </w:p>
          <w:p>
            <w:pPr>
              <w:pStyle w:val="14"/>
              <w:ind w:firstLine="0" w:firstLineChars="0"/>
              <w:jc w:val="left"/>
              <w:rPr>
                <w:color w:val="000000"/>
                <w:sz w:val="21"/>
                <w:szCs w:val="21"/>
              </w:rPr>
            </w:pPr>
            <w:r>
              <w:rPr>
                <w:rFonts w:hint="eastAsia"/>
                <w:color w:val="000000"/>
                <w:sz w:val="21"/>
                <w:szCs w:val="21"/>
              </w:rPr>
              <w:t>□ 其他：</w:t>
            </w:r>
          </w:p>
          <w:p>
            <w:pPr>
              <w:pStyle w:val="14"/>
              <w:ind w:firstLine="0" w:firstLineChars="0"/>
              <w:jc w:val="left"/>
              <w:rPr>
                <w:color w:val="000000"/>
                <w:sz w:val="21"/>
                <w:szCs w:val="21"/>
              </w:rPr>
            </w:pP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4"/>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审核组成员的可接受性  □一阶段的问题已整改</w:t>
            </w:r>
          </w:p>
          <w:p>
            <w:pPr>
              <w:pStyle w:val="14"/>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8101330</wp:posOffset>
              </wp:positionH>
              <wp:positionV relativeFrom="paragraph">
                <wp:posOffset>33020</wp:posOffset>
              </wp:positionV>
              <wp:extent cx="1088390" cy="256540"/>
              <wp:effectExtent l="0" t="0" r="6985" b="635"/>
              <wp:wrapNone/>
              <wp:docPr id="22" name="文本框 1"/>
              <wp:cNvGraphicFramePr/>
              <a:graphic xmlns:a="http://schemas.openxmlformats.org/drawingml/2006/main">
                <a:graphicData uri="http://schemas.microsoft.com/office/word/2010/wordprocessingShape">
                  <wps:wsp>
                    <wps:cNvSpPr txBox="1"/>
                    <wps:spPr>
                      <a:xfrm>
                        <a:off x="0" y="0"/>
                        <a:ext cx="108839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wps:txbx>
                    <wps:bodyPr upright="1"/>
                  </wps:wsp>
                </a:graphicData>
              </a:graphic>
            </wp:anchor>
          </w:drawing>
        </mc:Choice>
        <mc:Fallback>
          <w:pict>
            <v:shape id="文本框 1" o:spid="_x0000_s1026" o:spt="202" type="#_x0000_t202" style="position:absolute;left:0pt;margin-left:637.9pt;margin-top:2.6pt;height:20.2pt;width:85.7pt;z-index:251659264;mso-width-relative:page;mso-height-relative:page;" fillcolor="#FFFFFF" filled="t" stroked="f" coordsize="21600,21600" o:gfxdata="UEsDBAoAAAAAAIdO4kAAAAAAAAAAAAAAAAAEAAAAZHJzL1BLAwQUAAAACACHTuJA/fzsctcAAAAK&#10;AQAADwAAAGRycy9kb3ducmV2LnhtbE2PzU7DQAyE70i8w8pIXBDdNMoPhGwqgQTi2p8HcBI3ich6&#10;o+y2ad8e9wS3Gc1o/LncXOyozjT7wbGB9SoCRdy4duDOwGH/+fwCygfkFkfHZOBKHjbV/V2JResW&#10;3tJ5FzolI+wLNNCHMBVa+6Yni37lJmLJjm62GMTOnW5nXGTcjjqOokxbHFgu9DjRR0/Nz+5kDRy/&#10;l6f0dam/wiHfJtk7DnntrsY8PqyjN1CBLuGvDDd8QYdKmGp34tarUXycp8IeDKQxqFshSXJRtYEk&#10;zUBXpf7/QvULUEsDBBQAAAAIAIdO4kD/+7+lwwEAAHgDAAAOAAAAZHJzL2Uyb0RvYy54bWytU82O&#10;0zAQviPxDpbvNGlgVyVquhJU5YIAaeEBXMdJLPlPM26bvgC8AScu3HmuPgdjp9tldy97IIfEnvnm&#10;83zfOMub0Rq2V4Dau4bPZyVnyknfatc3/NvXzasFZxiFa4XxTjX8qJDfrF6+WB5CrSo/eNMqYETi&#10;sD6Ehg8xhrooUA7KCpz5oBwlOw9WRNpCX7QgDsRuTVGV5XVx8NAG8FIhUnQ9JfmZEZ5D6LtOS7X2&#10;cmeVixMrKCMiScJBB+Sr3G3XKRk/dx2qyEzDSWnMbzqE1tv0LlZLUfcgwqDluQXxnBYeabJCOzr0&#10;QrUWUbAd6CdUVkvw6Ls4k94Wk5DsCKmYl4+8uR1EUFkLWY3hYjr+P1r5af8FmG4bXlWcOWFp4qef&#10;P06//px+f2fz5M8hYE2w20DAOL7zI92auzhSMMkeO7DpS4IY5cnd48VdNUYmU1G5WLx+SylJuerq&#10;+upNtr+4rw6A8YPylqVFw4Gml00V+48YqROC3kHSYeiNbjfamLyBfvveANsLmvQmP6lJKnkAMy6B&#10;nU9lUzpFiqRx0pJWcdyOZ+Fb3x5J9y6A7gfqKSvPcBpIpj9fnjTxf/eZ9P6HWf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sctcAAAAKAQAADwAAAAAAAAABACAAAAAiAAAAZHJzL2Rvd25yZXYu&#10;eG1sUEsBAhQAFAAAAAgAh07iQP/7v6XDAQAAeAMAAA4AAAAAAAAAAQAgAAAAJg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mc:Fallback>
      </mc:AlternateConten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single" w:color="auto" w:sz="4" w:space="1"/>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18"/>
    <w:rsid w:val="000C78B9"/>
    <w:rsid w:val="000D6C53"/>
    <w:rsid w:val="00110895"/>
    <w:rsid w:val="001668B5"/>
    <w:rsid w:val="0021349D"/>
    <w:rsid w:val="002608DF"/>
    <w:rsid w:val="00275672"/>
    <w:rsid w:val="002F7BDD"/>
    <w:rsid w:val="0034415A"/>
    <w:rsid w:val="00386897"/>
    <w:rsid w:val="00405FF1"/>
    <w:rsid w:val="0042057C"/>
    <w:rsid w:val="004610B0"/>
    <w:rsid w:val="004E5A1F"/>
    <w:rsid w:val="0051757C"/>
    <w:rsid w:val="0052770B"/>
    <w:rsid w:val="00547618"/>
    <w:rsid w:val="00615EAA"/>
    <w:rsid w:val="006C1288"/>
    <w:rsid w:val="006F5662"/>
    <w:rsid w:val="006F64A5"/>
    <w:rsid w:val="00714032"/>
    <w:rsid w:val="00780DC3"/>
    <w:rsid w:val="00862B16"/>
    <w:rsid w:val="00902E45"/>
    <w:rsid w:val="00946525"/>
    <w:rsid w:val="009642EC"/>
    <w:rsid w:val="00AF750D"/>
    <w:rsid w:val="00B00F94"/>
    <w:rsid w:val="00B20454"/>
    <w:rsid w:val="00B4583F"/>
    <w:rsid w:val="00B543D0"/>
    <w:rsid w:val="00BF6B0E"/>
    <w:rsid w:val="00C13766"/>
    <w:rsid w:val="00C73D0D"/>
    <w:rsid w:val="00C849D1"/>
    <w:rsid w:val="00CB39F6"/>
    <w:rsid w:val="00D83F0E"/>
    <w:rsid w:val="00DF00EB"/>
    <w:rsid w:val="00DF70B4"/>
    <w:rsid w:val="00E33581"/>
    <w:rsid w:val="00E47DDC"/>
    <w:rsid w:val="00E52DEB"/>
    <w:rsid w:val="00E97288"/>
    <w:rsid w:val="00F071B2"/>
    <w:rsid w:val="00F17B2A"/>
    <w:rsid w:val="00F53338"/>
    <w:rsid w:val="00FE1494"/>
    <w:rsid w:val="00FF6D2B"/>
    <w:rsid w:val="1CEF6A52"/>
    <w:rsid w:val="260F58DD"/>
    <w:rsid w:val="2862751E"/>
    <w:rsid w:val="28E5410B"/>
    <w:rsid w:val="3CC52142"/>
    <w:rsid w:val="4B406720"/>
    <w:rsid w:val="4CB36093"/>
    <w:rsid w:val="61D6469D"/>
    <w:rsid w:val="7846644E"/>
    <w:rsid w:val="7A00562A"/>
    <w:rsid w:val="7E8D5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Char"/>
    <w:basedOn w:val="8"/>
    <w:link w:val="2"/>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7058</Words>
  <Characters>7276</Characters>
  <Lines>64</Lines>
  <Paragraphs>18</Paragraphs>
  <TotalTime>8</TotalTime>
  <ScaleCrop>false</ScaleCrop>
  <LinksUpToDate>false</LinksUpToDate>
  <CharactersWithSpaces>8591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2022-02-28T02:34:00Z</dcterms:created>
  <dc:creator>微软用户</dc:creator>
  <cp:lastModifiedBy>叶子</cp:lastModifiedBy>
  <dcterms:modified xsi:type="dcterms:W3CDTF">2022-04-04T07:22:24Z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3709D26BD9654B7984E85E5A6D01B453</vt:lpwstr>
  </property>
  <property fmtid="{D5CDD505-2E9C-101B-9397-08002B2CF9AE}" pid="3" name="KSOProductBuildVer">
    <vt:lpwstr>2052-11.1.0.11365</vt:lpwstr>
  </property>
</Properties>
</file>