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0318-2022-QO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1591"/>
        <w:gridCol w:w="899"/>
        <w:gridCol w:w="101"/>
        <w:gridCol w:w="1535"/>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河北铭宇通信器材有限公司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91130982MA07K0JR4J</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Q:25,O:25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505" w:type="dxa"/>
            <w:gridSpan w:val="2"/>
          </w:tcPr>
          <w:p>
            <w:pPr>
              <w:snapToGrid w:val="0"/>
              <w:spacing w:line="0" w:lineRule="atLeast"/>
              <w:jc w:val="left"/>
              <w:rPr>
                <w:sz w:val="22"/>
                <w:szCs w:val="22"/>
              </w:rPr>
            </w:pPr>
            <w:r>
              <w:rPr>
                <w:rFonts w:hint="eastAsia"/>
                <w:sz w:val="22"/>
                <w:szCs w:val="22"/>
                <w:lang w:val="en-GB"/>
              </w:rPr>
              <w:t>中文公司名称及地址</w:t>
            </w:r>
          </w:p>
        </w:tc>
        <w:tc>
          <w:tcPr>
            <w:tcW w:w="5881"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505" w:type="dxa"/>
            <w:gridSpan w:val="2"/>
          </w:tcPr>
          <w:p>
            <w:pPr>
              <w:snapToGrid w:val="0"/>
              <w:spacing w:line="0" w:lineRule="atLeast"/>
              <w:jc w:val="left"/>
              <w:rPr>
                <w:sz w:val="22"/>
                <w:szCs w:val="22"/>
                <w:lang w:val="en-GB"/>
              </w:rPr>
            </w:pPr>
            <w:bookmarkStart w:id="12" w:name="组织名称Add1"/>
            <w:r>
              <w:rPr>
                <w:rFonts w:hint="eastAsia"/>
                <w:sz w:val="22"/>
                <w:szCs w:val="22"/>
              </w:rPr>
              <w:t>河北铭宇通信器材有限公司</w:t>
            </w:r>
            <w:bookmarkEnd w:id="12"/>
          </w:p>
        </w:tc>
        <w:tc>
          <w:tcPr>
            <w:tcW w:w="5881" w:type="dxa"/>
            <w:gridSpan w:val="6"/>
            <w:vMerge w:val="restart"/>
          </w:tcPr>
          <w:p>
            <w:pPr>
              <w:snapToGrid w:val="0"/>
              <w:spacing w:line="0" w:lineRule="atLeast"/>
              <w:jc w:val="left"/>
              <w:rPr>
                <w:sz w:val="22"/>
                <w:szCs w:val="22"/>
              </w:rPr>
            </w:pPr>
            <w:bookmarkStart w:id="13" w:name="审核范围"/>
            <w:r>
              <w:rPr>
                <w:sz w:val="22"/>
                <w:szCs w:val="22"/>
              </w:rPr>
              <w:t>Q：通信光缆、塑料通信器材、钢绞线、通信铁件、电话线、通信箱体、线路铁件（电力铁附件）、线路警示牌、通信井具、电力管材（PE管材、PVC管材、MPP管材、CPVC管材）、走线架的生产和销售</w:t>
            </w:r>
          </w:p>
          <w:p>
            <w:pPr>
              <w:snapToGrid w:val="0"/>
              <w:spacing w:line="0" w:lineRule="atLeast"/>
              <w:jc w:val="left"/>
              <w:rPr>
                <w:sz w:val="22"/>
                <w:szCs w:val="22"/>
              </w:rPr>
            </w:pPr>
            <w:r>
              <w:rPr>
                <w:sz w:val="22"/>
                <w:szCs w:val="22"/>
              </w:rPr>
              <w:t>O：通信光缆、塑料通信器材、钢绞线、通信铁件、电话线、通信箱体、线路铁件（电力铁附件）、线路警示牌、通信井具、电力管材（PE管材、PVC管材、MPP管材、CPVC管材）、走线架的生产和销售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505" w:type="dxa"/>
            <w:gridSpan w:val="2"/>
          </w:tcPr>
          <w:p>
            <w:pPr>
              <w:snapToGrid w:val="0"/>
              <w:spacing w:line="0" w:lineRule="atLeast"/>
              <w:jc w:val="left"/>
              <w:rPr>
                <w:sz w:val="22"/>
                <w:szCs w:val="22"/>
              </w:rPr>
            </w:pPr>
            <w:bookmarkStart w:id="14" w:name="注册地址"/>
            <w:r>
              <w:rPr>
                <w:rFonts w:hint="eastAsia"/>
                <w:sz w:val="22"/>
                <w:szCs w:val="22"/>
                <w:lang w:val="en-GB"/>
              </w:rPr>
              <w:t>任丘市麻家坞镇南马庄村</w:t>
            </w:r>
            <w:bookmarkEnd w:id="14"/>
          </w:p>
        </w:tc>
        <w:tc>
          <w:tcPr>
            <w:tcW w:w="588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505" w:type="dxa"/>
            <w:gridSpan w:val="2"/>
          </w:tcPr>
          <w:p>
            <w:pPr>
              <w:snapToGrid w:val="0"/>
              <w:spacing w:line="0" w:lineRule="atLeast"/>
              <w:jc w:val="left"/>
              <w:rPr>
                <w:sz w:val="22"/>
                <w:szCs w:val="22"/>
              </w:rPr>
            </w:pPr>
            <w:bookmarkStart w:id="15" w:name="办公地址"/>
            <w:r>
              <w:rPr>
                <w:rFonts w:hint="eastAsia"/>
                <w:sz w:val="22"/>
                <w:szCs w:val="22"/>
                <w:lang w:val="en-GB"/>
              </w:rPr>
              <w:t>任丘市麻家坞镇南马庄村</w:t>
            </w:r>
            <w:bookmarkEnd w:id="15"/>
          </w:p>
        </w:tc>
        <w:tc>
          <w:tcPr>
            <w:tcW w:w="588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505"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881"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505" w:type="dxa"/>
            <w:gridSpan w:val="2"/>
          </w:tcPr>
          <w:p>
            <w:pPr>
              <w:snapToGrid w:val="0"/>
              <w:spacing w:line="0" w:lineRule="atLeast"/>
              <w:jc w:val="left"/>
              <w:rPr>
                <w:sz w:val="22"/>
                <w:szCs w:val="22"/>
              </w:rPr>
            </w:pPr>
            <w:r>
              <w:rPr>
                <w:rFonts w:hint="default" w:ascii="Times New Roman" w:hAnsi="Times New Roman" w:eastAsia="楷体_GB2312" w:cs="Times New Roman"/>
                <w:sz w:val="24"/>
                <w:szCs w:val="24"/>
              </w:rPr>
              <w:t>Hebei Mingyu Communication Equipment Co., Ltd.</w:t>
            </w:r>
          </w:p>
        </w:tc>
        <w:tc>
          <w:tcPr>
            <w:tcW w:w="1000" w:type="dxa"/>
            <w:gridSpan w:val="2"/>
          </w:tcPr>
          <w:p>
            <w:pPr>
              <w:snapToGrid w:val="0"/>
              <w:spacing w:line="0" w:lineRule="atLeast"/>
              <w:jc w:val="left"/>
              <w:rPr>
                <w:sz w:val="22"/>
                <w:szCs w:val="22"/>
              </w:rPr>
            </w:pPr>
            <w:r>
              <w:rPr>
                <w:rFonts w:hint="eastAsia"/>
                <w:sz w:val="22"/>
                <w:szCs w:val="22"/>
              </w:rPr>
              <w:t>QMS</w:t>
            </w:r>
          </w:p>
        </w:tc>
        <w:tc>
          <w:tcPr>
            <w:tcW w:w="4881" w:type="dxa"/>
            <w:gridSpan w:val="4"/>
          </w:tcPr>
          <w:p>
            <w:pPr>
              <w:snapToGrid w:val="0"/>
              <w:spacing w:line="0" w:lineRule="atLeast"/>
              <w:jc w:val="left"/>
              <w:rPr>
                <w:sz w:val="21"/>
                <w:szCs w:val="16"/>
              </w:rPr>
            </w:pPr>
            <w:r>
              <w:rPr>
                <w:rFonts w:hint="eastAsia"/>
                <w:sz w:val="21"/>
                <w:szCs w:val="16"/>
              </w:rPr>
              <w:t>Production and sales of communication optical cables, plastic communication equipment, steel strands, communication iron parts, telephone lines, communication boxes, line iron parts (power iron accessories), line warning signs, communication well tools, power pipes (PE pipes, PVC pipes, MPP pipes, CPVC pipes) and cabling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505" w:type="dxa"/>
            <w:gridSpan w:val="2"/>
          </w:tcPr>
          <w:p>
            <w:pPr>
              <w:snapToGrid w:val="0"/>
              <w:spacing w:line="0" w:lineRule="atLeast"/>
              <w:jc w:val="left"/>
              <w:rPr>
                <w:sz w:val="22"/>
                <w:szCs w:val="22"/>
              </w:rPr>
            </w:pPr>
            <w:r>
              <w:rPr>
                <w:rFonts w:hint="default" w:ascii="Times New Roman" w:hAnsi="Times New Roman" w:eastAsia="楷体_GB2312" w:cs="Times New Roman"/>
                <w:sz w:val="24"/>
                <w:szCs w:val="24"/>
              </w:rPr>
              <w:t>Nanmazhuang Village, Majiawu Town, Renqiu City</w:t>
            </w:r>
          </w:p>
        </w:tc>
        <w:tc>
          <w:tcPr>
            <w:tcW w:w="1000" w:type="dxa"/>
            <w:gridSpan w:val="2"/>
            <w:vMerge w:val="restart"/>
          </w:tcPr>
          <w:p>
            <w:pPr>
              <w:snapToGrid w:val="0"/>
              <w:spacing w:line="0" w:lineRule="atLeast"/>
              <w:jc w:val="left"/>
              <w:rPr>
                <w:sz w:val="22"/>
                <w:szCs w:val="22"/>
              </w:rPr>
            </w:pPr>
            <w:r>
              <w:rPr>
                <w:rFonts w:hint="eastAsia"/>
                <w:sz w:val="22"/>
                <w:szCs w:val="22"/>
              </w:rPr>
              <w:t>OHSMS</w:t>
            </w:r>
          </w:p>
        </w:tc>
        <w:tc>
          <w:tcPr>
            <w:tcW w:w="4881" w:type="dxa"/>
            <w:gridSpan w:val="4"/>
            <w:vMerge w:val="restart"/>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and sales of communication optical cables, plastic communication equipment, steel strands, communication iron parts, telephone lines, communication boxes, line iron parts (power iron accessories), line warning signs, communication well tools, power pipes (PE pipes, PVC pipes, MPP pipes, CPVC pipes) and wiring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576" w:type="dxa"/>
          </w:tcPr>
          <w:p>
            <w:pPr>
              <w:snapToGrid w:val="0"/>
              <w:spacing w:line="0" w:lineRule="atLeast"/>
              <w:jc w:val="left"/>
            </w:pPr>
            <w:r>
              <w:rPr>
                <w:rFonts w:cs="Arial"/>
                <w:b/>
                <w:bCs/>
                <w:sz w:val="22"/>
                <w:szCs w:val="16"/>
              </w:rPr>
              <w:t>Operation Address</w:t>
            </w:r>
            <w:r>
              <w:rPr>
                <w:rFonts w:hint="eastAsia"/>
                <w:sz w:val="22"/>
                <w:szCs w:val="22"/>
              </w:rPr>
              <w:t>经营</w:t>
            </w:r>
            <w:r>
              <w:rPr>
                <w:rFonts w:hint="eastAsia"/>
                <w:sz w:val="22"/>
                <w:szCs w:val="22"/>
                <w:lang w:val="en-GB"/>
              </w:rPr>
              <w:t>地址</w:t>
            </w:r>
          </w:p>
        </w:tc>
        <w:tc>
          <w:tcPr>
            <w:tcW w:w="2505" w:type="dxa"/>
            <w:gridSpan w:val="2"/>
          </w:tcPr>
          <w:p>
            <w:pPr>
              <w:snapToGrid w:val="0"/>
              <w:spacing w:line="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Nanmazhuang Village, Majiawu Town, Renqiu City</w:t>
            </w:r>
          </w:p>
        </w:tc>
        <w:tc>
          <w:tcPr>
            <w:tcW w:w="1000" w:type="dxa"/>
            <w:gridSpan w:val="2"/>
            <w:vMerge w:val="continue"/>
          </w:tcPr>
          <w:p>
            <w:pPr>
              <w:snapToGrid w:val="0"/>
              <w:spacing w:line="0" w:lineRule="atLeast"/>
              <w:jc w:val="left"/>
              <w:rPr>
                <w:rFonts w:hint="default" w:ascii="Times New Roman" w:hAnsi="Times New Roman" w:eastAsia="楷体_GB2312" w:cs="Times New Roman"/>
                <w:sz w:val="24"/>
                <w:szCs w:val="24"/>
              </w:rPr>
            </w:pPr>
          </w:p>
        </w:tc>
        <w:tc>
          <w:tcPr>
            <w:tcW w:w="4881" w:type="dxa"/>
            <w:gridSpan w:val="4"/>
            <w:vMerge w:val="continue"/>
          </w:tcPr>
          <w:p>
            <w:pPr>
              <w:snapToGrid w:val="0"/>
              <w:spacing w:line="0" w:lineRule="atLeast"/>
              <w:jc w:val="left"/>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90" w:type="dxa"/>
            <w:gridSpan w:val="2"/>
          </w:tcPr>
          <w:p>
            <w:pPr>
              <w:snapToGrid w:val="0"/>
              <w:spacing w:line="0" w:lineRule="atLeast"/>
              <w:jc w:val="left"/>
              <w:rPr>
                <w:rFonts w:hint="eastAsia"/>
                <w:sz w:val="22"/>
                <w:szCs w:val="18"/>
                <w:lang w:val="en-US" w:eastAsia="zh-CN"/>
              </w:rPr>
            </w:pPr>
          </w:p>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lang w:val="en-GB"/>
              </w:rPr>
            </w:pPr>
          </w:p>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bookmarkStart w:id="16" w:name="_GoBack"/>
      <w:r>
        <w:rPr>
          <w:rFonts w:hint="eastAsia" w:eastAsia="宋体"/>
          <w:b/>
          <w:color w:val="000000" w:themeColor="text1"/>
          <w:sz w:val="18"/>
          <w:szCs w:val="18"/>
          <w:lang w:val="en-GB" w:eastAsia="zh-CN"/>
        </w:rPr>
        <w:drawing>
          <wp:inline distT="0" distB="0" distL="114300" distR="114300">
            <wp:extent cx="6007735" cy="8538845"/>
            <wp:effectExtent l="0" t="0" r="12065" b="8255"/>
            <wp:docPr id="1" name="图片 1" descr="414d015ea326fe15d97a906b6b2a3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4d015ea326fe15d97a906b6b2a3cc"/>
                    <pic:cNvPicPr>
                      <a:picLocks noChangeAspect="1"/>
                    </pic:cNvPicPr>
                  </pic:nvPicPr>
                  <pic:blipFill>
                    <a:blip r:embed="rId5"/>
                    <a:stretch>
                      <a:fillRect/>
                    </a:stretch>
                  </pic:blipFill>
                  <pic:spPr>
                    <a:xfrm>
                      <a:off x="0" y="0"/>
                      <a:ext cx="6007735" cy="8538845"/>
                    </a:xfrm>
                    <a:prstGeom prst="rect">
                      <a:avLst/>
                    </a:prstGeom>
                  </pic:spPr>
                </pic:pic>
              </a:graphicData>
            </a:graphic>
          </wp:inline>
        </w:drawing>
      </w:r>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10BF5"/>
    <w:rsid w:val="38FD5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2022-04-18T06:29:23Z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