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09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sz w:val="24"/>
                <w:szCs w:val="24"/>
              </w:rPr>
              <w:t>抽样计划</w:t>
            </w:r>
          </w:p>
        </w:tc>
        <w:tc>
          <w:tcPr>
            <w:tcW w:w="109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val="en-US" w:eastAsia="zh-CN"/>
              </w:rPr>
              <w:t xml:space="preserve">蔡良忠    </w:t>
            </w:r>
            <w:r>
              <w:rPr>
                <w:rFonts w:hint="eastAsia"/>
                <w:sz w:val="24"/>
                <w:szCs w:val="24"/>
              </w:rPr>
              <w:t>陪同人员：</w:t>
            </w:r>
            <w:r>
              <w:rPr>
                <w:rFonts w:hint="eastAsia"/>
                <w:sz w:val="24"/>
                <w:szCs w:val="24"/>
                <w:lang w:val="en-US" w:eastAsia="zh-CN"/>
              </w:rPr>
              <w:t xml:space="preserve">宋文君 </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sz w:val="24"/>
                <w:szCs w:val="24"/>
              </w:rPr>
              <w:t>审核员：</w:t>
            </w:r>
            <w:r>
              <w:rPr>
                <w:rFonts w:hint="eastAsia"/>
                <w:sz w:val="24"/>
                <w:szCs w:val="24"/>
                <w:lang w:val="en-US" w:eastAsia="zh-CN"/>
              </w:rPr>
              <w:t xml:space="preserve">喻荣秋              </w:t>
            </w:r>
            <w:r>
              <w:rPr>
                <w:rFonts w:hint="eastAsia"/>
                <w:sz w:val="24"/>
                <w:szCs w:val="24"/>
              </w:rPr>
              <w:t>审核时间：</w:t>
            </w:r>
            <w:r>
              <w:rPr>
                <w:rFonts w:hint="eastAsia"/>
                <w:sz w:val="24"/>
                <w:szCs w:val="24"/>
                <w:lang w:val="en-US" w:eastAsia="zh-CN"/>
              </w:rPr>
              <w:t>2022年4月7日上午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0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审核条款：</w:t>
            </w:r>
          </w:p>
          <w:p>
            <w:pPr>
              <w:adjustRightInd w:val="0"/>
              <w:snapToGrid w:val="0"/>
              <w:ind w:right="105" w:rightChars="50"/>
              <w:textAlignment w:val="baseline"/>
              <w:rPr>
                <w:rFonts w:hint="eastAsia"/>
                <w:sz w:val="24"/>
                <w:szCs w:val="24"/>
              </w:rPr>
            </w:pPr>
            <w:r>
              <w:rPr>
                <w:rFonts w:ascii="宋体" w:hAnsi="宋体" w:cs="Arial"/>
                <w:sz w:val="24"/>
                <w:szCs w:val="24"/>
              </w:rPr>
              <w:t>E: 5.3</w:t>
            </w:r>
            <w:r>
              <w:rPr>
                <w:rFonts w:hint="eastAsia" w:ascii="宋体" w:hAnsi="宋体" w:cs="Arial"/>
                <w:sz w:val="24"/>
                <w:szCs w:val="24"/>
              </w:rPr>
              <w:t>组织的岗位、职责和权限、</w:t>
            </w:r>
            <w:r>
              <w:rPr>
                <w:rFonts w:ascii="宋体" w:hAnsi="宋体" w:cs="Arial"/>
                <w:sz w:val="24"/>
                <w:szCs w:val="24"/>
              </w:rPr>
              <w:t>6.2</w:t>
            </w:r>
            <w:r>
              <w:rPr>
                <w:rFonts w:hint="eastAsia" w:ascii="宋体" w:hAnsi="宋体" w:cs="Arial"/>
                <w:sz w:val="24"/>
                <w:szCs w:val="24"/>
              </w:rPr>
              <w:t>环境与职业健康安全目标、</w:t>
            </w:r>
            <w:r>
              <w:rPr>
                <w:rFonts w:ascii="宋体" w:hAnsi="宋体" w:cs="Arial"/>
                <w:sz w:val="24"/>
                <w:szCs w:val="24"/>
              </w:rPr>
              <w:t>6.1.2</w:t>
            </w:r>
            <w:r>
              <w:rPr>
                <w:rFonts w:hint="eastAsia" w:ascii="宋体" w:hAnsi="宋体" w:cs="Arial"/>
                <w:sz w:val="24"/>
                <w:szCs w:val="24"/>
              </w:rPr>
              <w:t>环境因素</w:t>
            </w:r>
            <w:r>
              <w:rPr>
                <w:rFonts w:ascii="宋体" w:hAnsi="宋体" w:cs="Arial"/>
                <w:sz w:val="24"/>
                <w:szCs w:val="24"/>
              </w:rPr>
              <w:t>/</w:t>
            </w:r>
            <w:r>
              <w:rPr>
                <w:rFonts w:hint="eastAsia" w:ascii="宋体" w:hAnsi="宋体" w:cs="Arial"/>
                <w:sz w:val="24"/>
                <w:szCs w:val="24"/>
              </w:rPr>
              <w:t>危险源辨识与评价、</w:t>
            </w:r>
            <w:r>
              <w:rPr>
                <w:rFonts w:ascii="宋体" w:hAnsi="宋体" w:cs="Arial"/>
                <w:sz w:val="24"/>
                <w:szCs w:val="24"/>
              </w:rPr>
              <w:t>8.1</w:t>
            </w:r>
            <w:r>
              <w:rPr>
                <w:rFonts w:hint="eastAsia" w:ascii="宋体" w:hAnsi="宋体" w:cs="Arial"/>
                <w:sz w:val="24"/>
                <w:szCs w:val="24"/>
              </w:rPr>
              <w:t>运行策划和控制、</w:t>
            </w:r>
            <w:r>
              <w:rPr>
                <w:rFonts w:ascii="宋体" w:hAnsi="宋体" w:cs="Arial"/>
                <w:sz w:val="24"/>
                <w:szCs w:val="24"/>
              </w:rPr>
              <w:t>8.2</w:t>
            </w:r>
            <w:r>
              <w:rPr>
                <w:rFonts w:hint="eastAsia" w:ascii="宋体" w:hAnsi="宋体" w:cs="Arial"/>
                <w:sz w:val="24"/>
                <w:szCs w:val="24"/>
              </w:rPr>
              <w:t>应急准备和响应，</w:t>
            </w:r>
            <w:r>
              <w:rPr>
                <w:rFonts w:hint="eastAsia" w:ascii="宋体" w:hAnsi="宋体" w:cs="宋体"/>
                <w:bCs/>
                <w:sz w:val="18"/>
                <w:szCs w:val="18"/>
                <w:lang w:eastAsia="zh-CN"/>
              </w:rPr>
              <w:t>1</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Arial"/>
                <w:color w:val="auto"/>
                <w:spacing w:val="-6"/>
                <w:sz w:val="21"/>
                <w:szCs w:val="21"/>
              </w:rPr>
              <w:t>组织的岗位、职责和权限</w:t>
            </w:r>
          </w:p>
        </w:tc>
        <w:tc>
          <w:tcPr>
            <w:tcW w:w="10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E:5.3</w:t>
            </w:r>
          </w:p>
        </w:tc>
        <w:tc>
          <w:tcPr>
            <w:tcW w:w="1000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销售部</w:t>
            </w:r>
            <w:r>
              <w:rPr>
                <w:rFonts w:hint="eastAsia" w:ascii="宋体" w:hAnsi="宋体" w:eastAsia="宋体" w:cs="Arial"/>
                <w:color w:val="auto"/>
                <w:spacing w:val="-6"/>
                <w:sz w:val="21"/>
                <w:szCs w:val="21"/>
                <w:lang w:val="en-US" w:eastAsia="zh-CN"/>
              </w:rPr>
              <w:t>主要职责：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1、确保《一体化管理体系》在本部门建立、实施，保持和有效改进；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2、完成本部门制定的销售和各项业绩考核计划；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3、根据公司的目标和战略，制定市场营销的策划方案，完成公司下达的任务；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4、制定本部门的培训计划；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5、负责采购材料供方的选择、评审和定期评审。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6、负责制订采购计划及采购的实施。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7、负责销售任务的安排和组织，保证产品符合要求，按时交货。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8、负责销售过程中标识的保护及产品的防护。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9、授权负责与顾客签订合同，组织合同评审；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10、代表公司与顾客沟通及时反馈顾客要求；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11、对销售合同的售前、售中、售后进行跟踪服务，定期或不定期对客户进行回访；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12、建立顾客档案，按顾客的投诉，定期征求顾客的满意程度。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13、根据环境安全目标、指标，落实环境安全管理方案。</w:t>
            </w:r>
          </w:p>
          <w:p>
            <w:pPr>
              <w:keepNext w:val="0"/>
              <w:keepLines w:val="0"/>
              <w:pageBreakBefore w:val="0"/>
              <w:widowControl w:val="0"/>
              <w:kinsoku/>
              <w:wordWrap/>
              <w:overflowPunct/>
              <w:topLinePunct w:val="0"/>
              <w:autoSpaceDE/>
              <w:autoSpaceDN/>
              <w:bidi w:val="0"/>
              <w:spacing w:line="260" w:lineRule="exact"/>
              <w:textAlignment w:val="auto"/>
              <w:rPr>
                <w:rFonts w:hint="default"/>
                <w:lang w:val="en-US" w:eastAsia="zh-CN"/>
              </w:rPr>
            </w:pP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目标及实现的策划</w:t>
            </w:r>
          </w:p>
        </w:tc>
        <w:tc>
          <w:tcPr>
            <w:tcW w:w="10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E:6.2</w:t>
            </w:r>
          </w:p>
        </w:tc>
        <w:tc>
          <w:tcPr>
            <w:tcW w:w="10004" w:type="dxa"/>
          </w:tcPr>
          <w:p>
            <w:pPr>
              <w:jc w:val="both"/>
              <w:rPr>
                <w:rFonts w:hint="default" w:ascii="宋体" w:hAnsi="宋体" w:eastAsia="宋体" w:cs="Arial"/>
                <w:bCs w:val="0"/>
                <w:spacing w:val="0"/>
                <w:kern w:val="2"/>
                <w:sz w:val="21"/>
                <w:szCs w:val="21"/>
                <w:lang w:val="en-US" w:eastAsia="zh-CN" w:bidi="ar-SA"/>
              </w:rPr>
            </w:pPr>
            <w:r>
              <w:rPr>
                <w:rFonts w:hint="eastAsia"/>
                <w:color w:val="auto"/>
                <w:lang w:val="en-US" w:eastAsia="zh-CN"/>
              </w:rPr>
              <w:t xml:space="preserve"> 销售部目标指标及完成情况</w:t>
            </w:r>
          </w:p>
          <w:p>
            <w:pPr>
              <w:jc w:val="both"/>
              <w:rPr>
                <w:rFonts w:hint="eastAsia" w:ascii="宋体" w:hAnsi="宋体" w:eastAsia="宋体" w:cs="Arial"/>
                <w:bCs w:val="0"/>
                <w:spacing w:val="0"/>
                <w:kern w:val="2"/>
                <w:sz w:val="21"/>
                <w:szCs w:val="21"/>
                <w:lang w:val="en-US" w:eastAsia="zh-CN" w:bidi="ar-SA"/>
              </w:rPr>
            </w:pPr>
            <w:r>
              <w:rPr>
                <w:rFonts w:hint="eastAsia" w:ascii="宋体" w:hAnsi="宋体" w:cs="Arial"/>
                <w:bCs w:val="0"/>
                <w:spacing w:val="0"/>
                <w:kern w:val="2"/>
                <w:sz w:val="21"/>
                <w:szCs w:val="21"/>
                <w:lang w:val="en-US" w:eastAsia="zh-CN" w:bidi="ar-SA"/>
              </w:rPr>
              <w:t xml:space="preserve">查见 </w:t>
            </w:r>
            <w:r>
              <w:rPr>
                <w:rFonts w:hint="eastAsia" w:ascii="宋体" w:hAnsi="宋体" w:eastAsia="宋体" w:cs="Arial"/>
                <w:bCs w:val="0"/>
                <w:spacing w:val="0"/>
                <w:kern w:val="2"/>
                <w:sz w:val="21"/>
                <w:szCs w:val="21"/>
                <w:lang w:val="en-US" w:eastAsia="zh-CN" w:bidi="ar-SA"/>
              </w:rPr>
              <w:t>202</w:t>
            </w:r>
            <w:r>
              <w:rPr>
                <w:rFonts w:hint="eastAsia" w:ascii="宋体" w:hAnsi="宋体" w:cs="Arial"/>
                <w:bCs w:val="0"/>
                <w:spacing w:val="0"/>
                <w:kern w:val="2"/>
                <w:sz w:val="21"/>
                <w:szCs w:val="21"/>
                <w:lang w:val="en-US" w:eastAsia="zh-CN" w:bidi="ar-SA"/>
              </w:rPr>
              <w:t>2</w:t>
            </w:r>
            <w:r>
              <w:rPr>
                <w:rFonts w:hint="eastAsia" w:ascii="宋体" w:hAnsi="宋体" w:eastAsia="宋体" w:cs="Arial"/>
                <w:bCs w:val="0"/>
                <w:spacing w:val="0"/>
                <w:kern w:val="2"/>
                <w:sz w:val="21"/>
                <w:szCs w:val="21"/>
                <w:lang w:val="en-US" w:eastAsia="zh-CN" w:bidi="ar-SA"/>
              </w:rPr>
              <w:t>年</w:t>
            </w:r>
            <w:r>
              <w:rPr>
                <w:rFonts w:hint="eastAsia" w:ascii="宋体" w:hAnsi="宋体" w:cs="Arial"/>
                <w:bCs w:val="0"/>
                <w:spacing w:val="0"/>
                <w:kern w:val="2"/>
                <w:sz w:val="21"/>
                <w:szCs w:val="21"/>
                <w:lang w:val="en-US" w:eastAsia="zh-CN" w:bidi="ar-SA"/>
              </w:rPr>
              <w:t>3月30日</w:t>
            </w:r>
            <w:r>
              <w:rPr>
                <w:rFonts w:hint="eastAsia" w:ascii="宋体" w:hAnsi="宋体" w:eastAsia="宋体" w:cs="Arial"/>
                <w:bCs w:val="0"/>
                <w:spacing w:val="0"/>
                <w:kern w:val="2"/>
                <w:sz w:val="21"/>
                <w:szCs w:val="21"/>
                <w:lang w:val="en-US" w:eastAsia="zh-CN" w:bidi="ar-SA"/>
              </w:rPr>
              <w:t>部门质量目标实现统计</w:t>
            </w:r>
          </w:p>
          <w:p>
            <w:pPr>
              <w:pStyle w:val="9"/>
              <w:numPr>
                <w:ilvl w:val="0"/>
                <w:numId w:val="0"/>
              </w:numPr>
              <w:ind w:firstLine="630" w:firstLineChars="300"/>
              <w:rPr>
                <w:rFonts w:hint="default" w:ascii="宋体" w:hAnsi="宋体" w:eastAsia="宋体"/>
                <w:szCs w:val="21"/>
                <w:lang w:val="en-US" w:eastAsia="zh-CN"/>
              </w:rPr>
            </w:pPr>
            <w:r>
              <w:rPr>
                <w:rFonts w:hint="eastAsia" w:ascii="宋体" w:hAnsi="宋体" w:cs="Arial"/>
                <w:bCs w:val="0"/>
                <w:spacing w:val="0"/>
                <w:kern w:val="2"/>
                <w:sz w:val="21"/>
                <w:szCs w:val="21"/>
                <w:lang w:val="en-US" w:eastAsia="zh-CN" w:bidi="ar-SA"/>
              </w:rPr>
              <w:t>部门      目标值                      量化指标        测量方法             实际完成情况</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highlight w:val="red"/>
                <w:lang w:val="en-US" w:eastAsia="zh-CN"/>
              </w:rPr>
            </w:pPr>
            <w:r>
              <w:rPr>
                <w:rFonts w:hint="eastAsia" w:ascii="宋体" w:hAnsi="宋体" w:eastAsia="宋体" w:cs="Arial"/>
                <w:bCs w:val="0"/>
                <w:spacing w:val="0"/>
                <w:kern w:val="2"/>
                <w:sz w:val="21"/>
                <w:szCs w:val="21"/>
                <w:lang w:val="en-US" w:eastAsia="zh-CN" w:bidi="ar-SA"/>
              </w:rPr>
              <w:drawing>
                <wp:inline distT="0" distB="0" distL="114300" distR="114300">
                  <wp:extent cx="6396355" cy="1913890"/>
                  <wp:effectExtent l="0" t="0" r="4445" b="6350"/>
                  <wp:docPr id="6" name="图片 6" descr="1649319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9319189(1)"/>
                          <pic:cNvPicPr>
                            <a:picLocks noChangeAspect="1"/>
                          </pic:cNvPicPr>
                        </pic:nvPicPr>
                        <pic:blipFill>
                          <a:blip r:embed="rId6"/>
                          <a:stretch>
                            <a:fillRect/>
                          </a:stretch>
                        </pic:blipFill>
                        <pic:spPr>
                          <a:xfrm>
                            <a:off x="0" y="0"/>
                            <a:ext cx="6396355" cy="1913890"/>
                          </a:xfrm>
                          <a:prstGeom prst="rect">
                            <a:avLst/>
                          </a:prstGeom>
                        </pic:spPr>
                      </pic:pic>
                    </a:graphicData>
                  </a:graphic>
                </wp:inline>
              </w:drawing>
            </w:r>
            <w:r>
              <w:rPr>
                <w:rFonts w:hint="eastAsia" w:ascii="宋体" w:hAnsi="宋体" w:eastAsia="宋体" w:cs="Arial"/>
                <w:bCs w:val="0"/>
                <w:spacing w:val="0"/>
                <w:kern w:val="2"/>
                <w:sz w:val="21"/>
                <w:szCs w:val="21"/>
                <w:lang w:val="en-US" w:eastAsia="zh-CN" w:bidi="ar-SA"/>
              </w:rPr>
              <w:t>“目标分解考核表”显示对目标完成情况进行了考核</w:t>
            </w:r>
            <w:r>
              <w:rPr>
                <w:rFonts w:hint="eastAsia" w:ascii="宋体" w:hAnsi="宋体" w:cs="Arial"/>
                <w:bCs w:val="0"/>
                <w:spacing w:val="0"/>
                <w:kern w:val="2"/>
                <w:sz w:val="21"/>
                <w:szCs w:val="21"/>
                <w:lang w:val="en-US" w:eastAsia="zh-CN" w:bidi="ar-SA"/>
              </w:rPr>
              <w:t>，</w:t>
            </w:r>
            <w:r>
              <w:rPr>
                <w:rFonts w:hint="eastAsia" w:ascii="宋体" w:hAnsi="宋体" w:eastAsia="宋体" w:cs="Arial"/>
                <w:bCs w:val="0"/>
                <w:spacing w:val="0"/>
                <w:kern w:val="2"/>
                <w:sz w:val="21"/>
                <w:szCs w:val="21"/>
                <w:lang w:val="en-US" w:eastAsia="zh-CN" w:bidi="ar-SA"/>
              </w:rPr>
              <w:t>均完成。</w:t>
            </w:r>
            <w:r>
              <w:rPr>
                <w:rFonts w:hint="eastAsia" w:ascii="宋体" w:hAnsi="宋体" w:cs="Arial"/>
                <w:bCs w:val="0"/>
                <w:spacing w:val="0"/>
                <w:kern w:val="2"/>
                <w:sz w:val="21"/>
                <w:szCs w:val="21"/>
                <w:lang w:val="en-US" w:eastAsia="zh-CN" w:bidi="ar-SA"/>
              </w:rPr>
              <w:t>基本符合。</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rPr>
            </w:pPr>
            <w:r>
              <w:rPr>
                <w:rFonts w:hint="eastAsia" w:ascii="宋体" w:hAnsi="宋体" w:cs="Arial"/>
                <w:color w:val="auto"/>
                <w:spacing w:val="-6"/>
                <w:sz w:val="21"/>
                <w:szCs w:val="21"/>
              </w:rPr>
              <w:t>环境因素/危险源的识别与评价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rPr>
              <w:t>措施的策划</w:t>
            </w:r>
          </w:p>
        </w:tc>
        <w:tc>
          <w:tcPr>
            <w:tcW w:w="10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 xml:space="preserve"> </w:t>
            </w:r>
          </w:p>
        </w:tc>
        <w:tc>
          <w:tcPr>
            <w:tcW w:w="10004" w:type="dxa"/>
          </w:tcPr>
          <w:p>
            <w:pPr>
              <w:spacing w:line="280" w:lineRule="exact"/>
              <w:rPr>
                <w:rFonts w:hint="eastAsia" w:ascii="宋体" w:hAnsi="宋体" w:cs="Arial"/>
                <w:color w:val="000000" w:themeColor="text1"/>
                <w:sz w:val="21"/>
                <w:szCs w:val="21"/>
                <w:lang w:val="en-US" w:eastAsia="zh-CN"/>
                <w14:textFill>
                  <w14:solidFill>
                    <w14:schemeClr w14:val="tx1"/>
                  </w14:solidFill>
                </w14:textFill>
              </w:rPr>
            </w:pPr>
            <w:r>
              <w:rPr>
                <w:rFonts w:hint="eastAsia" w:ascii="宋体" w:hAnsi="宋体" w:cs="Arial"/>
                <w:color w:val="000000" w:themeColor="text1"/>
                <w:sz w:val="21"/>
                <w:szCs w:val="21"/>
                <w:lang w:val="en-US" w:eastAsia="zh-CN"/>
                <w14:textFill>
                  <w14:solidFill>
                    <w14:schemeClr w14:val="tx1"/>
                  </w14:solidFill>
                </w14:textFill>
              </w:rPr>
              <w:t>公司有</w:t>
            </w:r>
            <w:r>
              <w:rPr>
                <w:rFonts w:hint="eastAsia" w:ascii="宋体" w:hAnsi="宋体" w:cs="Arial"/>
                <w:color w:val="000000" w:themeColor="text1"/>
                <w:sz w:val="21"/>
                <w:szCs w:val="21"/>
                <w:lang w:val="zh-CN" w:eastAsia="zh-CN"/>
                <w14:textFill>
                  <w14:solidFill>
                    <w14:schemeClr w14:val="tx1"/>
                  </w14:solidFill>
                </w14:textFill>
              </w:rPr>
              <w:t>环境因素识别与评价控制程序</w:t>
            </w:r>
            <w:r>
              <w:rPr>
                <w:rFonts w:hint="eastAsia" w:ascii="宋体" w:hAnsi="宋体" w:cs="Arial"/>
                <w:color w:val="000000" w:themeColor="text1"/>
                <w:sz w:val="21"/>
                <w:szCs w:val="21"/>
                <w:lang w:val="en-US" w:eastAsia="zh-CN"/>
                <w14:textFill>
                  <w14:solidFill>
                    <w14:schemeClr w14:val="tx1"/>
                  </w14:solidFill>
                </w14:textFill>
              </w:rPr>
              <w:t>，有效文件，无变化。</w:t>
            </w:r>
          </w:p>
          <w:p>
            <w:pPr>
              <w:spacing w:line="280" w:lineRule="exact"/>
              <w:rPr>
                <w:rFonts w:hint="default" w:ascii="宋体" w:hAnsi="宋体" w:cs="Arial"/>
                <w:color w:val="000000" w:themeColor="text1"/>
                <w:sz w:val="21"/>
                <w:szCs w:val="21"/>
                <w:lang w:val="en-US" w:eastAsia="zh-CN"/>
                <w14:textFill>
                  <w14:solidFill>
                    <w14:schemeClr w14:val="tx1"/>
                  </w14:solidFill>
                </w14:textFill>
              </w:rPr>
            </w:pPr>
            <w:r>
              <w:rPr>
                <w:rFonts w:hint="eastAsia" w:ascii="宋体" w:hAnsi="宋体" w:cs="Arial"/>
                <w:color w:val="000000" w:themeColor="text1"/>
                <w:sz w:val="21"/>
                <w:szCs w:val="21"/>
                <w:lang w:val="en-US" w:eastAsia="zh-CN"/>
                <w14:textFill>
                  <w14:solidFill>
                    <w14:schemeClr w14:val="tx1"/>
                  </w14:solidFill>
                </w14:textFill>
              </w:rPr>
              <w:t>查“环境因素辨识和评价表”，识别出综合部环境因素19项， 对传真机墨盒的废弃、打印机废硒鼓的排</w:t>
            </w:r>
            <w:r>
              <w:rPr>
                <w:rFonts w:hint="eastAsia" w:ascii="宋体" w:hAnsi="宋体" w:eastAsia="宋体" w:cs="Arial"/>
                <w:color w:val="000000" w:themeColor="text1"/>
                <w:sz w:val="21"/>
                <w:szCs w:val="21"/>
                <w:lang w:val="en-US" w:eastAsia="zh-CN"/>
                <w14:textFill>
                  <w14:solidFill>
                    <w14:schemeClr w14:val="tx1"/>
                  </w14:solidFill>
                </w14:textFill>
              </w:rPr>
              <w:t>放、水电消耗、潜在火灾、用电短路、线路老化、生活</w:t>
            </w:r>
            <w:r>
              <w:rPr>
                <w:rFonts w:hint="eastAsia" w:ascii="宋体" w:hAnsi="宋体" w:cs="Arial"/>
                <w:color w:val="000000" w:themeColor="text1"/>
                <w:sz w:val="21"/>
                <w:szCs w:val="21"/>
                <w:lang w:val="en-US" w:eastAsia="zh-CN"/>
                <w14:textFill>
                  <w14:solidFill>
                    <w14:schemeClr w14:val="tx1"/>
                  </w14:solidFill>
                </w14:textFill>
              </w:rPr>
              <w:t>污水的排放等进行了辨识和评价；考虑了生命周期观点。</w:t>
            </w:r>
          </w:p>
          <w:p>
            <w:pPr>
              <w:spacing w:line="280" w:lineRule="exact"/>
              <w:rPr>
                <w:rFonts w:hint="default"/>
                <w:lang w:val="en-US" w:eastAsia="zh-CN"/>
              </w:rPr>
            </w:pPr>
            <w:r>
              <w:rPr>
                <w:rFonts w:hint="eastAsia" w:ascii="宋体" w:hAnsi="宋体" w:cs="Arial"/>
                <w:color w:val="000000" w:themeColor="text1"/>
                <w:sz w:val="21"/>
                <w:szCs w:val="21"/>
                <w:lang w:val="en-US" w:eastAsia="zh-CN"/>
                <w14:textFill>
                  <w14:solidFill>
                    <w14:schemeClr w14:val="tx1"/>
                  </w14:solidFill>
                </w14:textFill>
              </w:rPr>
              <w:t xml:space="preserve">采取打分法评价，查到2022.1.10“重要环境因素清单”，经评价公司的重要环境因素:潜在火灾、固体废弃物排放。  </w:t>
            </w:r>
            <w:r>
              <w:rPr>
                <w:rFonts w:hint="eastAsia" w:ascii="宋体" w:hAnsi="宋体" w:eastAsia="宋体" w:cs="Arial"/>
                <w:color w:val="auto"/>
                <w:spacing w:val="-6"/>
                <w:kern w:val="2"/>
                <w:sz w:val="21"/>
                <w:szCs w:val="21"/>
                <w:highlight w:val="none"/>
                <w:lang w:val="en-US" w:eastAsia="zh-CN" w:bidi="ar-SA"/>
              </w:rPr>
              <w:t xml:space="preserve">  </w:t>
            </w:r>
          </w:p>
          <w:p>
            <w:pPr>
              <w:pStyle w:val="9"/>
              <w:rPr>
                <w:rFonts w:hint="eastAsia" w:ascii="宋体" w:hAnsi="宋体" w:cs="Arial"/>
                <w:color w:val="000000" w:themeColor="text1"/>
                <w:sz w:val="21"/>
                <w:szCs w:val="21"/>
                <w:lang w:val="en-US" w:eastAsia="zh-CN"/>
                <w14:textFill>
                  <w14:solidFill>
                    <w14:schemeClr w14:val="tx1"/>
                  </w14:solidFill>
                </w14:textFill>
              </w:rPr>
            </w:pPr>
            <w:r>
              <w:rPr>
                <w:rFonts w:hint="eastAsia" w:ascii="宋体" w:hAnsi="宋体" w:cs="Arial"/>
                <w:color w:val="000000" w:themeColor="text1"/>
                <w:sz w:val="21"/>
                <w:szCs w:val="21"/>
                <w:lang w:val="en-US" w:eastAsia="zh-CN"/>
                <w14:textFill>
                  <w14:solidFill>
                    <w14:schemeClr w14:val="tx1"/>
                  </w14:solidFill>
                </w14:textFill>
              </w:rPr>
              <w:t>策划了控制措施，制订了“环境目标管理方案”，明确了控制措施、时间要求、责任部门、经费预算。基本符合要求。</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rPr>
            </w:pPr>
            <w:r>
              <w:rPr>
                <w:rFonts w:hint="eastAsia" w:ascii="宋体" w:hAnsi="宋体" w:cs="Arial"/>
                <w:color w:val="auto"/>
                <w:spacing w:val="-6"/>
                <w:sz w:val="21"/>
                <w:szCs w:val="21"/>
              </w:rPr>
              <w:t>运行策划和控制</w:t>
            </w:r>
          </w:p>
        </w:tc>
        <w:tc>
          <w:tcPr>
            <w:tcW w:w="10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w:t>
            </w:r>
            <w:r>
              <w:rPr>
                <w:rFonts w:hint="eastAsia" w:ascii="宋体" w:hAnsi="宋体" w:cs="Arial"/>
                <w:color w:val="auto"/>
                <w:spacing w:val="-6"/>
                <w:sz w:val="21"/>
                <w:szCs w:val="21"/>
              </w:rPr>
              <w:t>8.1</w:t>
            </w:r>
          </w:p>
        </w:tc>
        <w:tc>
          <w:tcPr>
            <w:tcW w:w="10004" w:type="dxa"/>
          </w:tcPr>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imes New Roman" w:hAnsi="Times New Roman" w:cs="Times New Roman"/>
                <w:color w:val="auto"/>
                <w:szCs w:val="22"/>
                <w:highlight w:val="none"/>
                <w:lang w:val="en-US" w:eastAsia="zh-CN"/>
              </w:rPr>
            </w:pPr>
            <w:r>
              <w:rPr>
                <w:rFonts w:hint="default" w:ascii="Times New Roman" w:hAnsi="Times New Roman" w:cs="Times New Roman"/>
                <w:color w:val="auto"/>
                <w:szCs w:val="22"/>
                <w:highlight w:val="none"/>
                <w:lang w:val="en-US" w:eastAsia="zh-CN"/>
              </w:rPr>
              <w:t>公司策划了环境安全管理相关程序文件和管理制度：</w:t>
            </w:r>
            <w:r>
              <w:rPr>
                <w:rFonts w:hint="eastAsia" w:cs="Times New Roman"/>
                <w:color w:val="auto"/>
                <w:szCs w:val="22"/>
                <w:highlight w:val="none"/>
                <w:lang w:val="en-US" w:eastAsia="zh-CN"/>
              </w:rPr>
              <w:t>环境、安全运行控制程序</w:t>
            </w:r>
            <w:r>
              <w:rPr>
                <w:rFonts w:hint="default"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环境因素的识别与评价控制程序</w:t>
            </w:r>
            <w:r>
              <w:rPr>
                <w:rFonts w:hint="default"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采购</w:t>
            </w:r>
            <w:r>
              <w:rPr>
                <w:rFonts w:hint="default" w:ascii="Times New Roman" w:hAnsi="Times New Roman" w:cs="Times New Roman"/>
                <w:color w:val="auto"/>
                <w:szCs w:val="22"/>
                <w:highlight w:val="none"/>
                <w:lang w:val="en-US" w:eastAsia="zh-CN"/>
              </w:rPr>
              <w:t>控制程序</w:t>
            </w:r>
            <w:r>
              <w:rPr>
                <w:rFonts w:hint="eastAsia" w:cs="Times New Roman"/>
                <w:color w:val="auto"/>
                <w:szCs w:val="22"/>
                <w:highlight w:val="none"/>
                <w:lang w:val="en-US" w:eastAsia="zh-CN"/>
              </w:rPr>
              <w:t xml:space="preserve"> </w:t>
            </w:r>
            <w:r>
              <w:rPr>
                <w:rFonts w:hint="default" w:ascii="Times New Roman" w:hAnsi="Times New Roman" w:cs="Times New Roman"/>
                <w:color w:val="auto"/>
                <w:szCs w:val="22"/>
                <w:highlight w:val="none"/>
                <w:lang w:val="en-US" w:eastAsia="zh-CN"/>
              </w:rPr>
              <w:t>、</w:t>
            </w:r>
            <w:r>
              <w:rPr>
                <w:rFonts w:hint="eastAsia" w:cs="Times New Roman"/>
                <w:color w:val="auto"/>
                <w:szCs w:val="22"/>
                <w:highlight w:val="none"/>
                <w:lang w:val="en-US" w:eastAsia="zh-CN"/>
              </w:rPr>
              <w:t>岗位任职要求</w:t>
            </w:r>
            <w:r>
              <w:rPr>
                <w:rFonts w:hint="default" w:ascii="Times New Roman" w:hAnsi="Times New Roman" w:cs="Times New Roman"/>
                <w:color w:val="auto"/>
                <w:szCs w:val="22"/>
                <w:highlight w:val="none"/>
                <w:lang w:val="en-US" w:eastAsia="zh-CN"/>
              </w:rPr>
              <w:t>、应急准备和响应控制程序</w:t>
            </w:r>
            <w:r>
              <w:rPr>
                <w:rFonts w:hint="eastAsia" w:ascii="Times New Roman" w:hAnsi="Times New Roman" w:cs="Times New Roman"/>
                <w:color w:val="auto"/>
                <w:szCs w:val="22"/>
                <w:highlight w:val="none"/>
                <w:lang w:val="en-US" w:eastAsia="zh-CN"/>
              </w:rPr>
              <w:t>、适用的</w:t>
            </w:r>
            <w:r>
              <w:rPr>
                <w:rFonts w:hint="default" w:ascii="Times New Roman" w:hAnsi="Times New Roman" w:cs="Times New Roman"/>
                <w:color w:val="auto"/>
                <w:szCs w:val="22"/>
                <w:highlight w:val="none"/>
                <w:lang w:val="en-US" w:eastAsia="zh-CN"/>
              </w:rPr>
              <w:t>法律、法规</w:t>
            </w:r>
            <w:r>
              <w:rPr>
                <w:rFonts w:hint="eastAsia" w:ascii="Times New Roman" w:hAnsi="Times New Roman" w:cs="Times New Roman"/>
                <w:color w:val="auto"/>
                <w:szCs w:val="22"/>
                <w:highlight w:val="none"/>
                <w:lang w:val="en-US" w:eastAsia="zh-CN"/>
              </w:rPr>
              <w:t>及其他要求</w:t>
            </w:r>
            <w:r>
              <w:rPr>
                <w:rFonts w:hint="default" w:ascii="Times New Roman" w:hAnsi="Times New Roman" w:cs="Times New Roman"/>
                <w:color w:val="auto"/>
                <w:szCs w:val="22"/>
                <w:highlight w:val="none"/>
                <w:lang w:val="en-US" w:eastAsia="zh-CN"/>
              </w:rPr>
              <w:t>控制程序等；</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宋体" w:hAnsi="宋体" w:eastAsia="宋体" w:cs="Arial"/>
                <w:color w:val="auto"/>
                <w:spacing w:val="-6"/>
                <w:kern w:val="2"/>
                <w:sz w:val="21"/>
                <w:szCs w:val="21"/>
                <w:highlight w:val="none"/>
                <w:lang w:val="en-US" w:eastAsia="zh-CN" w:bidi="ar-SA"/>
              </w:rPr>
            </w:pPr>
            <w:r>
              <w:rPr>
                <w:rFonts w:hint="eastAsia" w:ascii="宋体" w:hAnsi="宋体" w:eastAsia="宋体" w:cs="Arial"/>
                <w:spacing w:val="-6"/>
                <w:sz w:val="21"/>
                <w:szCs w:val="21"/>
                <w:highlight w:val="none"/>
                <w:lang w:val="en-US" w:eastAsia="zh-CN"/>
              </w:rPr>
              <w:t>办公工作场所布局合理，座椅和办公桌符合人体工程学要求，工间能适当走动、休息；办</w:t>
            </w:r>
            <w:r>
              <w:rPr>
                <w:rFonts w:hint="eastAsia" w:ascii="宋体" w:hAnsi="宋体" w:eastAsia="宋体" w:cs="Arial"/>
                <w:color w:val="auto"/>
                <w:spacing w:val="-6"/>
                <w:kern w:val="2"/>
                <w:sz w:val="21"/>
                <w:szCs w:val="21"/>
                <w:highlight w:val="none"/>
                <w:lang w:val="en-US" w:eastAsia="zh-CN" w:bidi="ar-SA"/>
              </w:rPr>
              <w:t>公环境光照、通风良好，基本满足办公需求；</w:t>
            </w:r>
            <w:r>
              <w:rPr>
                <w:rFonts w:hint="default" w:ascii="宋体" w:hAnsi="宋体" w:eastAsia="宋体" w:cs="Arial"/>
                <w:color w:val="auto"/>
                <w:spacing w:val="-6"/>
                <w:kern w:val="2"/>
                <w:sz w:val="21"/>
                <w:szCs w:val="21"/>
                <w:highlight w:val="none"/>
                <w:lang w:val="en-US" w:eastAsia="zh-CN" w:bidi="ar-SA"/>
              </w:rPr>
              <w:t>电路、电源正常，未见用电不当等安全隐患及不良影响现象。</w:t>
            </w:r>
          </w:p>
          <w:p>
            <w:pPr>
              <w:keepNext w:val="0"/>
              <w:keepLines w:val="0"/>
              <w:pageBreakBefore w:val="0"/>
              <w:widowControl w:val="0"/>
              <w:kinsoku/>
              <w:wordWrap/>
              <w:overflowPunct/>
              <w:topLinePunct w:val="0"/>
              <w:autoSpaceDE/>
              <w:autoSpaceDN/>
              <w:bidi w:val="0"/>
              <w:adjustRightInd/>
              <w:snapToGrid/>
              <w:spacing w:after="0" w:line="360" w:lineRule="auto"/>
              <w:ind w:firstLine="396" w:firstLineChars="200"/>
              <w:textAlignment w:val="auto"/>
              <w:rPr>
                <w:rFonts w:hint="eastAsia" w:ascii="宋体" w:hAnsi="宋体" w:eastAsia="宋体" w:cs="Arial"/>
                <w:color w:val="auto"/>
                <w:spacing w:val="-6"/>
                <w:kern w:val="2"/>
                <w:sz w:val="21"/>
                <w:szCs w:val="21"/>
                <w:highlight w:val="none"/>
                <w:lang w:val="en-US" w:eastAsia="zh-CN" w:bidi="ar-SA"/>
              </w:rPr>
            </w:pPr>
            <w:r>
              <w:rPr>
                <w:rFonts w:hint="eastAsia" w:ascii="宋体" w:hAnsi="宋体" w:cs="Arial"/>
                <w:color w:val="auto"/>
                <w:spacing w:val="-6"/>
                <w:kern w:val="2"/>
                <w:sz w:val="21"/>
                <w:szCs w:val="21"/>
                <w:highlight w:val="none"/>
                <w:lang w:val="en-US" w:eastAsia="zh-CN" w:bidi="ar-SA"/>
              </w:rPr>
              <w:t>楼道内配</w:t>
            </w:r>
            <w:r>
              <w:rPr>
                <w:rFonts w:hint="default" w:ascii="宋体" w:hAnsi="宋体" w:eastAsia="宋体" w:cs="Arial"/>
                <w:color w:val="auto"/>
                <w:spacing w:val="-6"/>
                <w:kern w:val="2"/>
                <w:sz w:val="21"/>
                <w:szCs w:val="21"/>
                <w:highlight w:val="none"/>
                <w:lang w:val="en-US" w:eastAsia="zh-CN" w:bidi="ar-SA"/>
              </w:rPr>
              <w:t>有灭火器，状态良好</w:t>
            </w:r>
            <w:r>
              <w:rPr>
                <w:rFonts w:hint="eastAsia" w:ascii="宋体" w:hAnsi="宋体" w:cs="Arial"/>
                <w:color w:val="auto"/>
                <w:spacing w:val="-6"/>
                <w:kern w:val="2"/>
                <w:sz w:val="21"/>
                <w:szCs w:val="21"/>
                <w:highlight w:val="none"/>
                <w:lang w:val="en-US" w:eastAsia="zh-CN" w:bidi="ar-SA"/>
              </w:rPr>
              <w:t xml:space="preserve"> </w:t>
            </w:r>
            <w:r>
              <w:rPr>
                <w:rFonts w:hint="eastAsia" w:ascii="宋体" w:hAnsi="宋体" w:eastAsia="宋体" w:cs="Arial"/>
                <w:color w:val="auto"/>
                <w:spacing w:val="-6"/>
                <w:kern w:val="2"/>
                <w:sz w:val="21"/>
                <w:szCs w:val="21"/>
                <w:highlight w:val="none"/>
                <w:lang w:val="en-US" w:eastAsia="zh-CN" w:bidi="ar-SA"/>
              </w:rPr>
              <w:t>。</w:t>
            </w:r>
          </w:p>
          <w:p>
            <w:pPr>
              <w:pStyle w:val="2"/>
              <w:rPr>
                <w:rFonts w:hint="eastAsia" w:ascii="宋体" w:hAnsi="宋体" w:eastAsia="宋体" w:cs="Arial"/>
                <w:color w:val="auto"/>
                <w:spacing w:val="-6"/>
                <w:kern w:val="2"/>
                <w:sz w:val="21"/>
                <w:szCs w:val="21"/>
                <w:highlight w:val="none"/>
                <w:lang w:val="en-US" w:eastAsia="zh-CN" w:bidi="ar-SA"/>
              </w:rPr>
            </w:pPr>
            <w:r>
              <w:rPr>
                <w:rFonts w:hint="eastAsia" w:ascii="宋体" w:hAnsi="宋体" w:eastAsia="宋体" w:cs="Arial"/>
                <w:color w:val="auto"/>
                <w:spacing w:val="-6"/>
                <w:kern w:val="2"/>
                <w:sz w:val="21"/>
                <w:szCs w:val="21"/>
                <w:highlight w:val="none"/>
                <w:lang w:val="en-US" w:eastAsia="zh-CN" w:bidi="ar-SA"/>
              </w:rPr>
              <w:drawing>
                <wp:inline distT="0" distB="0" distL="114300" distR="114300">
                  <wp:extent cx="1087120" cy="815340"/>
                  <wp:effectExtent l="0" t="0" r="10160" b="7620"/>
                  <wp:docPr id="7" name="图片 7" descr="b2a48cba41ac218ec92801b1f764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2a48cba41ac218ec92801b1f76472d"/>
                          <pic:cNvPicPr>
                            <a:picLocks noChangeAspect="1"/>
                          </pic:cNvPicPr>
                        </pic:nvPicPr>
                        <pic:blipFill>
                          <a:blip r:embed="rId7"/>
                          <a:stretch>
                            <a:fillRect/>
                          </a:stretch>
                        </pic:blipFill>
                        <pic:spPr>
                          <a:xfrm>
                            <a:off x="0" y="0"/>
                            <a:ext cx="1087120" cy="815340"/>
                          </a:xfrm>
                          <a:prstGeom prst="rect">
                            <a:avLst/>
                          </a:prstGeom>
                        </pic:spPr>
                      </pic:pic>
                    </a:graphicData>
                  </a:graphic>
                </wp:inline>
              </w:drawing>
            </w:r>
            <w:r>
              <w:rPr>
                <w:rFonts w:hint="eastAsia" w:ascii="宋体" w:hAnsi="宋体" w:eastAsia="宋体" w:cs="Arial"/>
                <w:color w:val="auto"/>
                <w:spacing w:val="-6"/>
                <w:kern w:val="2"/>
                <w:sz w:val="21"/>
                <w:szCs w:val="21"/>
                <w:highlight w:val="none"/>
                <w:lang w:val="en-US" w:eastAsia="zh-CN" w:bidi="ar-SA"/>
              </w:rPr>
              <w:drawing>
                <wp:inline distT="0" distB="0" distL="114300" distR="114300">
                  <wp:extent cx="487045" cy="866775"/>
                  <wp:effectExtent l="0" t="0" r="635" b="1905"/>
                  <wp:docPr id="8" name="图片 8" descr="69a8c21d6a9048d13705ccc45487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9a8c21d6a9048d13705ccc45487a8a"/>
                          <pic:cNvPicPr>
                            <a:picLocks noChangeAspect="1"/>
                          </pic:cNvPicPr>
                        </pic:nvPicPr>
                        <pic:blipFill>
                          <a:blip r:embed="rId8"/>
                          <a:stretch>
                            <a:fillRect/>
                          </a:stretch>
                        </pic:blipFill>
                        <pic:spPr>
                          <a:xfrm>
                            <a:off x="0" y="0"/>
                            <a:ext cx="487045" cy="866775"/>
                          </a:xfrm>
                          <a:prstGeom prst="rect">
                            <a:avLst/>
                          </a:prstGeom>
                        </pic:spPr>
                      </pic:pic>
                    </a:graphicData>
                  </a:graphic>
                </wp:inline>
              </w:drawing>
            </w:r>
          </w:p>
          <w:p>
            <w:pPr>
              <w:pStyle w:val="3"/>
              <w:rPr>
                <w:rFonts w:hint="default" w:ascii="宋体" w:hAnsi="宋体" w:eastAsia="宋体" w:cs="Arial"/>
                <w:color w:val="000000" w:themeColor="text1"/>
                <w:spacing w:val="-6"/>
                <w:kern w:val="2"/>
                <w:sz w:val="21"/>
                <w:szCs w:val="21"/>
                <w:highlight w:val="none"/>
                <w:lang w:val="en-US" w:eastAsia="zh-CN" w:bidi="ar-SA"/>
                <w14:textFill>
                  <w14:solidFill>
                    <w14:schemeClr w14:val="tx1"/>
                  </w14:solidFill>
                </w14:textFill>
              </w:rPr>
            </w:pPr>
            <w:r>
              <w:rPr>
                <w:rFonts w:hint="eastAsia" w:ascii="宋体" w:hAnsi="宋体" w:eastAsia="宋体" w:cs="Arial"/>
                <w:color w:val="auto"/>
                <w:spacing w:val="-6"/>
                <w:kern w:val="2"/>
                <w:sz w:val="21"/>
                <w:szCs w:val="21"/>
                <w:highlight w:val="none"/>
                <w:lang w:val="en-US" w:eastAsia="zh-CN" w:bidi="ar-SA"/>
              </w:rPr>
              <w:t>查见</w:t>
            </w:r>
            <w:r>
              <w:rPr>
                <w:rFonts w:hint="eastAsia" w:ascii="宋体" w:hAnsi="宋体" w:cs="Arial"/>
                <w:color w:val="auto"/>
                <w:spacing w:val="-6"/>
                <w:kern w:val="2"/>
                <w:sz w:val="21"/>
                <w:szCs w:val="21"/>
                <w:highlight w:val="none"/>
                <w:lang w:val="en-US" w:eastAsia="zh-CN" w:bidi="ar-SA"/>
              </w:rPr>
              <w:t>办公楼</w:t>
            </w:r>
            <w:bookmarkStart w:id="0" w:name="_GoBack"/>
            <w:bookmarkEnd w:id="0"/>
            <w:r>
              <w:rPr>
                <w:rFonts w:hint="eastAsia" w:ascii="宋体" w:hAnsi="宋体" w:cs="Arial"/>
                <w:color w:val="auto"/>
                <w:spacing w:val="-6"/>
                <w:kern w:val="2"/>
                <w:sz w:val="21"/>
                <w:szCs w:val="21"/>
                <w:highlight w:val="none"/>
                <w:lang w:val="en-US" w:eastAsia="zh-CN" w:bidi="ar-SA"/>
              </w:rPr>
              <w:t>办公垃圾</w:t>
            </w:r>
            <w:r>
              <w:rPr>
                <w:rFonts w:hint="eastAsia" w:ascii="宋体" w:hAnsi="宋体" w:eastAsia="宋体" w:cs="Arial"/>
                <w:color w:val="auto"/>
                <w:spacing w:val="-6"/>
                <w:kern w:val="2"/>
                <w:sz w:val="21"/>
                <w:szCs w:val="21"/>
                <w:highlight w:val="none"/>
                <w:lang w:val="en-US" w:eastAsia="zh-CN" w:bidi="ar-SA"/>
              </w:rPr>
              <w:t>固体</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每天投放到物业指定地点，电子垃圾半年收集一次统一处理 。</w:t>
            </w:r>
          </w:p>
          <w:p>
            <w:pPr>
              <w:pStyle w:val="9"/>
              <w:rPr>
                <w:rFonts w:hint="default" w:ascii="Times New Roman" w:hAnsi="Times New Roman" w:eastAsia="宋体" w:cs="Times New Roman"/>
                <w:szCs w:val="22"/>
                <w:lang w:val="en-US" w:eastAsia="zh-CN"/>
              </w:rPr>
            </w:pP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与相关方的信息交流</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情况，</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202</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1</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年</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7</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月</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20</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日</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相关方环境、职业健康安全告知书</w:t>
            </w:r>
            <w:r>
              <w:rPr>
                <w:rFonts w:hint="default" w:ascii="宋体" w:hAnsi="宋体" w:eastAsia="宋体" w:cs="Arial"/>
                <w:color w:val="000000" w:themeColor="text1"/>
                <w:spacing w:val="-6"/>
                <w:kern w:val="2"/>
                <w:sz w:val="21"/>
                <w:szCs w:val="21"/>
                <w:highlight w:val="none"/>
                <w:lang w:val="en-US" w:eastAsia="zh-CN" w:bidi="ar-SA"/>
                <w14:textFill>
                  <w14:solidFill>
                    <w14:schemeClr w14:val="tx1"/>
                  </w14:solidFill>
                </w14:textFill>
              </w:rPr>
              <w:t>，</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与</w:t>
            </w:r>
            <w:r>
              <w:rPr>
                <w:rFonts w:hint="eastAsia" w:ascii="宋体" w:hAnsi="宋体" w:cs="Arial"/>
                <w:color w:val="000000" w:themeColor="text1"/>
                <w:spacing w:val="-6"/>
                <w:kern w:val="2"/>
                <w:sz w:val="21"/>
                <w:szCs w:val="21"/>
                <w:highlight w:val="none"/>
                <w:lang w:val="en-US" w:eastAsia="zh-CN" w:bidi="ar-SA"/>
                <w14:textFill>
                  <w14:solidFill>
                    <w14:schemeClr w14:val="tx1"/>
                  </w14:solidFill>
                </w14:textFill>
              </w:rPr>
              <w:t>相关方</w:t>
            </w:r>
            <w:r>
              <w:rPr>
                <w:rFonts w:hint="default" w:ascii="宋体" w:hAnsi="宋体" w:eastAsia="宋体" w:cs="Arial"/>
                <w:color w:val="000000" w:themeColor="text1"/>
                <w:spacing w:val="-6"/>
                <w:kern w:val="2"/>
                <w:sz w:val="21"/>
                <w:szCs w:val="21"/>
                <w:highlight w:val="none"/>
                <w:lang w:val="en-US" w:eastAsia="zh-CN" w:bidi="ar-SA"/>
                <w14:textFill>
                  <w14:solidFill>
                    <w14:schemeClr w14:val="tx1"/>
                  </w14:solidFill>
                </w14:textFill>
              </w:rPr>
              <w:t>进行了环境和职业健康安全有关事项的沟通。</w:t>
            </w:r>
            <w:r>
              <w:rPr>
                <w:rFonts w:hint="eastAsia" w:ascii="宋体" w:hAnsi="宋体" w:eastAsia="宋体" w:cs="Arial"/>
                <w:color w:val="000000" w:themeColor="text1"/>
                <w:spacing w:val="-6"/>
                <w:kern w:val="2"/>
                <w:sz w:val="21"/>
                <w:szCs w:val="21"/>
                <w:highlight w:val="none"/>
                <w:lang w:val="en-US" w:eastAsia="zh-CN" w:bidi="ar-SA"/>
                <w14:textFill>
                  <w14:solidFill>
                    <w14:schemeClr w14:val="tx1"/>
                  </w14:solidFill>
                </w14:textFill>
              </w:rPr>
              <w:t xml:space="preserve">与嘉兴市新涌塑化有限公司、浙江传化华洋化工有限公司沟通了体系建立运行的情况。   </w:t>
            </w:r>
            <w:r>
              <w:rPr>
                <w:rFonts w:hint="eastAsia" w:ascii="宋体" w:hAnsi="宋体" w:eastAsia="宋体" w:cs="Arial"/>
                <w:color w:val="auto"/>
                <w:spacing w:val="-6"/>
                <w:kern w:val="2"/>
                <w:sz w:val="21"/>
                <w:szCs w:val="21"/>
                <w:highlight w:val="none"/>
                <w:lang w:val="en-US" w:eastAsia="zh-CN" w:bidi="ar-SA"/>
              </w:rPr>
              <w:t xml:space="preserve">            </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color w:val="auto"/>
                <w:spacing w:val="-6"/>
                <w:sz w:val="21"/>
                <w:szCs w:val="21"/>
              </w:rPr>
            </w:pPr>
            <w:r>
              <w:rPr>
                <w:rFonts w:hint="eastAsia" w:ascii="宋体" w:hAnsi="宋体" w:cs="Arial"/>
                <w:color w:val="auto"/>
                <w:spacing w:val="-6"/>
                <w:sz w:val="21"/>
                <w:szCs w:val="21"/>
              </w:rPr>
              <w:t>应急准备和响应</w:t>
            </w:r>
          </w:p>
        </w:tc>
        <w:tc>
          <w:tcPr>
            <w:tcW w:w="10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w:t>
            </w:r>
            <w:r>
              <w:rPr>
                <w:rFonts w:hint="eastAsia" w:ascii="宋体" w:hAnsi="宋体" w:cs="Arial"/>
                <w:color w:val="auto"/>
                <w:spacing w:val="-6"/>
                <w:sz w:val="21"/>
                <w:szCs w:val="21"/>
              </w:rPr>
              <w:t>8.2</w:t>
            </w:r>
          </w:p>
        </w:tc>
        <w:tc>
          <w:tcPr>
            <w:tcW w:w="10004" w:type="dxa"/>
          </w:tcPr>
          <w:p>
            <w:pPr>
              <w:spacing w:line="360" w:lineRule="auto"/>
              <w:jc w:val="left"/>
              <w:rPr>
                <w:rFonts w:hint="default"/>
                <w:lang w:val="en-US" w:eastAsia="zh-CN"/>
              </w:rPr>
            </w:pPr>
            <w:r>
              <w:rPr>
                <w:rFonts w:hint="eastAsia"/>
                <w:lang w:val="en-US" w:eastAsia="zh-CN"/>
              </w:rPr>
              <w:t xml:space="preserve">公司有应急准备和响应控制程序，制定了火灾紧急预案、触电预案。 </w:t>
            </w:r>
          </w:p>
          <w:p>
            <w:pPr>
              <w:spacing w:line="360" w:lineRule="auto"/>
              <w:ind w:firstLine="210" w:firstLineChars="100"/>
              <w:rPr>
                <w:rFonts w:hint="eastAsia"/>
                <w:lang w:val="en-US" w:eastAsia="zh-CN"/>
              </w:rPr>
            </w:pPr>
            <w:r>
              <w:rPr>
                <w:rFonts w:hint="eastAsia"/>
                <w:lang w:val="en-US" w:eastAsia="zh-CN"/>
              </w:rPr>
              <w:t>2021年12月25日综合部组织了办公场所发生火灾应急演练，有演练计划、演练记录、演练结果评价：这次消防演练整个过程严肃紧张，基本上达到了演习目的，效果令人满意。通过这次消防演练，公司全体员工得到一次实战的锻炼。最可贵的一点是我们所有参加演练的义务消防队员和员工都能够在警铃响起后2分钟内全部到达火灾现场进行灭火。因为火灾初起，在公安消防队和专业消防队未到达之前，我们已经达到现场扑救，把握了灭火的最佳时刻，对及时扑灭火灾起到关键作用。</w:t>
            </w:r>
          </w:p>
          <w:p>
            <w:pPr>
              <w:spacing w:line="360" w:lineRule="auto"/>
              <w:ind w:firstLine="460" w:firstLineChars="200"/>
              <w:jc w:val="left"/>
              <w:rPr>
                <w:rFonts w:hint="eastAsia" w:ascii="Times New Roman" w:hAnsi="Times New Roman" w:eastAsia="宋体" w:cs="Times New Roman"/>
                <w:szCs w:val="22"/>
                <w:lang w:val="en-US" w:eastAsia="zh-CN"/>
              </w:rPr>
            </w:pPr>
            <w:r>
              <w:rPr>
                <w:rFonts w:hint="eastAsia" w:ascii="宋体" w:hAnsi="宋体" w:cs="宋体"/>
                <w:bCs/>
                <w:spacing w:val="10"/>
                <w:kern w:val="2"/>
                <w:sz w:val="21"/>
                <w:szCs w:val="22"/>
                <w:lang w:val="en-US" w:eastAsia="zh-CN" w:bidi="ar-SA"/>
              </w:rPr>
              <w:t>基本符合。</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90" w:firstLineChars="550"/>
      <w:jc w:val="left"/>
      <w:rPr>
        <w:rStyle w:val="17"/>
        <w:rFonts w:hint="default"/>
      </w:rPr>
    </w:pPr>
    <w:r>
      <w:drawing>
        <wp:anchor distT="0" distB="0" distL="114300" distR="114300" simplePos="0" relativeHeight="251660288" behindDoc="0" locked="0" layoutInCell="1" allowOverlap="1">
          <wp:simplePos x="0" y="0"/>
          <wp:positionH relativeFrom="column">
            <wp:posOffset>41275</wp:posOffset>
          </wp:positionH>
          <wp:positionV relativeFrom="paragraph">
            <wp:posOffset>-27940</wp:posOffset>
          </wp:positionV>
          <wp:extent cx="481330" cy="484505"/>
          <wp:effectExtent l="0" t="0" r="6350" b="317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6"/>
      <w:pBdr>
        <w:bottom w:val="none" w:color="auto" w:sz="0" w:space="0"/>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7929245</wp:posOffset>
              </wp:positionH>
              <wp:positionV relativeFrom="paragraph">
                <wp:posOffset>27940</wp:posOffset>
              </wp:positionV>
              <wp:extent cx="1300480" cy="256540"/>
              <wp:effectExtent l="0" t="0" r="10160" b="2540"/>
              <wp:wrapNone/>
              <wp:docPr id="2" name="文本框 1"/>
              <wp:cNvGraphicFramePr/>
              <a:graphic xmlns:a="http://schemas.openxmlformats.org/drawingml/2006/main">
                <a:graphicData uri="http://schemas.microsoft.com/office/word/2010/wordprocessingShape">
                  <wps:wsp>
                    <wps:cNvSpPr txBox="1"/>
                    <wps:spPr>
                      <a:xfrm>
                        <a:off x="0" y="0"/>
                        <a:ext cx="1300480" cy="256540"/>
                      </a:xfrm>
                      <a:prstGeom prst="rect">
                        <a:avLst/>
                      </a:prstGeom>
                      <a:solidFill>
                        <a:srgbClr val="FFFFFF"/>
                      </a:solidFill>
                      <a:ln>
                        <a:noFill/>
                      </a:ln>
                    </wps:spPr>
                    <wps:txbx>
                      <w:txbxContent>
                        <w:p>
                          <w:pPr>
                            <w:rPr>
                              <w:sz w:val="18"/>
                              <w:szCs w:val="18"/>
                            </w:rPr>
                          </w:pPr>
                          <w:r>
                            <w:rPr>
                              <w:rFonts w:hint="eastAsia"/>
                              <w:sz w:val="18"/>
                              <w:szCs w:val="18"/>
                            </w:rPr>
                            <w:t>ISC-B-II-12(05版）</w:t>
                          </w:r>
                        </w:p>
                        <w:p/>
                      </w:txbxContent>
                    </wps:txbx>
                    <wps:bodyPr upright="1"/>
                  </wps:wsp>
                </a:graphicData>
              </a:graphic>
            </wp:anchor>
          </w:drawing>
        </mc:Choice>
        <mc:Fallback>
          <w:pict>
            <v:shape id="文本框 1" o:spid="_x0000_s1026" o:spt="202" type="#_x0000_t202" style="position:absolute;left:0pt;margin-left:624.35pt;margin-top:2.2pt;height:20.2pt;width:102.4pt;z-index:251659264;mso-width-relative:page;mso-height-relative:page;" fillcolor="#FFFFFF" filled="t" stroked="f" coordsize="21600,21600" o:gfxdata="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srsI3XAAAACgEAAA8A&#10;AAAAAAAAAQAgAAAAIgAAAGRycy9kb3ducmV2LnhtbFBLAQIUABQAAAAIAIdO4kCR5roXpgEAACkD&#10;AAAOAAAAAAAAAAEAIAAAACYBAABkcnMvZTJvRG9jLnhtbFBLBQYAAAAABgAGAFkBAAA+BQAAAAA=&#10;">
              <v:fill on="t" focussize="0,0"/>
              <v:stroke on="f"/>
              <v:imagedata o:title=""/>
              <o:lock v:ext="edit" aspectratio="f"/>
              <v:textbox>
                <w:txbxContent>
                  <w:p>
                    <w:pPr>
                      <w:rPr>
                        <w:sz w:val="18"/>
                        <w:szCs w:val="18"/>
                      </w:rPr>
                    </w:pPr>
                    <w:r>
                      <w:rPr>
                        <w:rFonts w:hint="eastAsia"/>
                        <w:sz w:val="18"/>
                        <w:szCs w:val="18"/>
                      </w:rPr>
                      <w:t>ISC-B-II-12(05版）</w:t>
                    </w:r>
                  </w:p>
                  <w:p/>
                </w:txbxContent>
              </v:textbox>
            </v:shape>
          </w:pict>
        </mc:Fallback>
      </mc:AlternateContent>
    </w:r>
    <w:r>
      <w:rPr>
        <w:rStyle w:val="17"/>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5DEC"/>
    <w:rsid w:val="02B8131E"/>
    <w:rsid w:val="02CF07A5"/>
    <w:rsid w:val="04662607"/>
    <w:rsid w:val="075664F7"/>
    <w:rsid w:val="08ED24BC"/>
    <w:rsid w:val="0BC53946"/>
    <w:rsid w:val="0C151F13"/>
    <w:rsid w:val="0D6D78E6"/>
    <w:rsid w:val="11D84CD4"/>
    <w:rsid w:val="1518442B"/>
    <w:rsid w:val="153512FA"/>
    <w:rsid w:val="16964DEC"/>
    <w:rsid w:val="16F25E83"/>
    <w:rsid w:val="196223AE"/>
    <w:rsid w:val="22094F7E"/>
    <w:rsid w:val="24BB750B"/>
    <w:rsid w:val="24C05FA8"/>
    <w:rsid w:val="2607287F"/>
    <w:rsid w:val="266249C3"/>
    <w:rsid w:val="271E20E3"/>
    <w:rsid w:val="296B3194"/>
    <w:rsid w:val="2A3B4EC5"/>
    <w:rsid w:val="2F403519"/>
    <w:rsid w:val="31DB6013"/>
    <w:rsid w:val="32B42895"/>
    <w:rsid w:val="32D30943"/>
    <w:rsid w:val="34F46FF7"/>
    <w:rsid w:val="37BC363B"/>
    <w:rsid w:val="3A2F44F0"/>
    <w:rsid w:val="3AC339F3"/>
    <w:rsid w:val="3F60506B"/>
    <w:rsid w:val="40081862"/>
    <w:rsid w:val="41D84319"/>
    <w:rsid w:val="41DA4162"/>
    <w:rsid w:val="42896F59"/>
    <w:rsid w:val="4706246F"/>
    <w:rsid w:val="47AA7CF5"/>
    <w:rsid w:val="47EB3F00"/>
    <w:rsid w:val="4A911548"/>
    <w:rsid w:val="4C7B2DE3"/>
    <w:rsid w:val="4D970060"/>
    <w:rsid w:val="4FDA59F6"/>
    <w:rsid w:val="54B73AB9"/>
    <w:rsid w:val="568E2A00"/>
    <w:rsid w:val="59165059"/>
    <w:rsid w:val="5B156B42"/>
    <w:rsid w:val="5C79423D"/>
    <w:rsid w:val="5C8D7F47"/>
    <w:rsid w:val="5D856E68"/>
    <w:rsid w:val="5EFE51E4"/>
    <w:rsid w:val="5F760DB4"/>
    <w:rsid w:val="601B1071"/>
    <w:rsid w:val="60612C70"/>
    <w:rsid w:val="60F73305"/>
    <w:rsid w:val="61C354AC"/>
    <w:rsid w:val="64984C8B"/>
    <w:rsid w:val="654431D7"/>
    <w:rsid w:val="65AC626B"/>
    <w:rsid w:val="665E5012"/>
    <w:rsid w:val="683D2049"/>
    <w:rsid w:val="696F7841"/>
    <w:rsid w:val="698E6DCD"/>
    <w:rsid w:val="6ED34A18"/>
    <w:rsid w:val="70AA50FB"/>
    <w:rsid w:val="73F57CB1"/>
    <w:rsid w:val="747F47E9"/>
    <w:rsid w:val="7618603D"/>
    <w:rsid w:val="7B404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exact"/>
      <w:ind w:left="630" w:leftChars="300"/>
    </w:pPr>
    <w:rPr>
      <w:rFonts w:eastAsia="楷体_GB2312"/>
      <w:sz w:val="28"/>
    </w:rPr>
  </w:style>
  <w:style w:type="paragraph" w:styleId="8">
    <w:name w:val="Normal (Web)"/>
    <w:basedOn w:val="1"/>
    <w:qFormat/>
    <w:uiPriority w:val="0"/>
    <w:pPr>
      <w:spacing w:before="0" w:beforeAutospacing="0" w:after="0" w:afterAutospacing="0"/>
      <w:ind w:left="0" w:right="0"/>
      <w:jc w:val="left"/>
    </w:pPr>
    <w:rPr>
      <w:kern w:val="0"/>
      <w:sz w:val="24"/>
      <w:lang w:val="en-US" w:eastAsia="zh-CN" w:bidi="ar"/>
    </w:rPr>
  </w:style>
  <w:style w:type="paragraph" w:styleId="9">
    <w:name w:val="Body Text First Indent"/>
    <w:basedOn w:val="3"/>
    <w:qFormat/>
    <w:uiPriority w:val="0"/>
    <w:pPr>
      <w:ind w:firstLine="420" w:firstLineChars="1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0"/>
    <w:rPr>
      <w:color w:val="333333"/>
      <w:sz w:val="18"/>
      <w:szCs w:val="18"/>
      <w:u w:val="none"/>
    </w:rPr>
  </w:style>
  <w:style w:type="character" w:customStyle="1" w:styleId="14">
    <w:name w:val="页眉 Char"/>
    <w:basedOn w:val="12"/>
    <w:link w:val="6"/>
    <w:qFormat/>
    <w:uiPriority w:val="99"/>
    <w:rPr>
      <w:rFonts w:ascii="Times New Roman" w:hAnsi="Times New Roman" w:eastAsia="宋体" w:cs="Times New Roman"/>
      <w:sz w:val="18"/>
      <w:szCs w:val="18"/>
    </w:rPr>
  </w:style>
  <w:style w:type="character" w:customStyle="1" w:styleId="15">
    <w:name w:val="页脚 Char"/>
    <w:basedOn w:val="12"/>
    <w:link w:val="5"/>
    <w:qFormat/>
    <w:uiPriority w:val="99"/>
    <w:rPr>
      <w:rFonts w:ascii="Times New Roman" w:hAnsi="Times New Roman" w:eastAsia="宋体" w:cs="Times New Roman"/>
      <w:sz w:val="18"/>
      <w:szCs w:val="18"/>
    </w:rPr>
  </w:style>
  <w:style w:type="character" w:customStyle="1" w:styleId="16">
    <w:name w:val="批注框文本 Char"/>
    <w:basedOn w:val="12"/>
    <w:link w:val="4"/>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秋子(喻荣秋)</cp:lastModifiedBy>
  <dcterms:modified xsi:type="dcterms:W3CDTF">2022-04-08T01:13:56Z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DBBE743461FD444198E5CE969FEED69C</vt:lpwstr>
  </property>
</Properties>
</file>