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206"/>
        <w:gridCol w:w="989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6"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9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蒋丽娇</w:t>
            </w:r>
            <w:r>
              <w:rPr>
                <w:sz w:val="24"/>
                <w:szCs w:val="24"/>
              </w:rPr>
              <w:t xml:space="preserve">   </w:t>
            </w:r>
            <w:r>
              <w:rPr>
                <w:rFonts w:hint="eastAsia"/>
                <w:sz w:val="24"/>
                <w:szCs w:val="24"/>
              </w:rPr>
              <w:t>陪同人员：</w:t>
            </w:r>
            <w:r>
              <w:rPr>
                <w:rFonts w:hint="eastAsia"/>
                <w:sz w:val="24"/>
                <w:szCs w:val="24"/>
                <w:lang w:val="en-US" w:eastAsia="zh-CN"/>
              </w:rPr>
              <w:t>徐健</w:t>
            </w:r>
            <w:r>
              <w:rPr>
                <w:sz w:val="24"/>
                <w:szCs w:val="24"/>
              </w:rPr>
              <w:t xml:space="preserve"> </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206" w:type="dxa"/>
            <w:vMerge w:val="continue"/>
            <w:vAlign w:val="center"/>
          </w:tcPr>
          <w:p/>
        </w:tc>
        <w:tc>
          <w:tcPr>
            <w:tcW w:w="989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喻荣秋</w:t>
            </w:r>
            <w:r>
              <w:rPr>
                <w:sz w:val="24"/>
                <w:szCs w:val="24"/>
              </w:rPr>
              <w:t xml:space="preserve">       </w:t>
            </w:r>
            <w:r>
              <w:rPr>
                <w:rFonts w:hint="eastAsia"/>
                <w:sz w:val="24"/>
                <w:szCs w:val="24"/>
              </w:rPr>
              <w:t>审核时间：</w:t>
            </w:r>
            <w:bookmarkStart w:id="0" w:name="审核日期"/>
            <w:r>
              <w:t>202</w:t>
            </w:r>
            <w:r>
              <w:rPr>
                <w:rFonts w:hint="eastAsia"/>
                <w:lang w:val="en-US" w:eastAsia="zh-CN"/>
              </w:rPr>
              <w:t>2</w:t>
            </w:r>
            <w:r>
              <w:t>年</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日</w:t>
            </w:r>
            <w:bookmarkEnd w:id="0"/>
            <w:r>
              <w:rPr>
                <w:rFonts w:hint="eastAsia"/>
                <w:color w:val="000000" w:themeColor="text1"/>
                <w:lang w:val="en-US" w:eastAsia="zh-CN"/>
                <w14:textFill>
                  <w14:solidFill>
                    <w14:schemeClr w14:val="tx1"/>
                  </w14:solidFill>
                </w14:textFill>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2027" w:type="dxa"/>
            <w:vMerge w:val="continue"/>
            <w:vAlign w:val="center"/>
          </w:tcPr>
          <w:p/>
        </w:tc>
        <w:tc>
          <w:tcPr>
            <w:tcW w:w="1206" w:type="dxa"/>
            <w:vMerge w:val="continue"/>
            <w:vAlign w:val="center"/>
          </w:tcPr>
          <w:p/>
        </w:tc>
        <w:tc>
          <w:tcPr>
            <w:tcW w:w="9891" w:type="dxa"/>
            <w:vAlign w:val="center"/>
          </w:tcPr>
          <w:p>
            <w:pPr>
              <w:adjustRightInd w:val="0"/>
              <w:snapToGrid w:val="0"/>
              <w:spacing w:line="360" w:lineRule="auto"/>
              <w:ind w:right="105" w:rightChars="50"/>
              <w:textAlignment w:val="baseline"/>
              <w:rPr>
                <w:rFonts w:hint="eastAsia"/>
                <w:lang w:val="en-US" w:eastAsia="zh-CN"/>
              </w:rPr>
            </w:pPr>
            <w:r>
              <w:rPr>
                <w:rFonts w:hint="eastAsia"/>
                <w:lang w:val="en-US" w:eastAsia="zh-CN"/>
              </w:rPr>
              <w:t>审核条款</w:t>
            </w:r>
          </w:p>
          <w:p>
            <w:pPr>
              <w:adjustRightInd w:val="0"/>
              <w:snapToGrid w:val="0"/>
              <w:spacing w:line="360" w:lineRule="auto"/>
              <w:ind w:right="105" w:rightChars="50"/>
              <w:textAlignment w:val="baseline"/>
              <w:rPr>
                <w:rFonts w:hint="eastAsia" w:eastAsia="宋体"/>
                <w:lang w:eastAsia="zh-CN"/>
              </w:rPr>
            </w:pPr>
            <w:r>
              <w:t>E</w:t>
            </w:r>
            <w:r>
              <w:rPr>
                <w:rFonts w:hint="eastAsia"/>
                <w:lang w:eastAsia="zh-CN"/>
              </w:rPr>
              <w:t>：</w:t>
            </w:r>
            <w:r>
              <w:rPr>
                <w:rFonts w:hint="eastAsia"/>
              </w:rPr>
              <w:t>理解组织及其环境、</w:t>
            </w:r>
            <w:r>
              <w:t>4.2</w:t>
            </w:r>
            <w:r>
              <w:rPr>
                <w:rFonts w:hint="eastAsia"/>
              </w:rPr>
              <w:t>理解相关方的需求和期望、</w:t>
            </w:r>
            <w:r>
              <w:t xml:space="preserve">4.3 </w:t>
            </w:r>
            <w:r>
              <w:rPr>
                <w:rFonts w:hint="eastAsia"/>
              </w:rPr>
              <w:t>确定管理体系的范围、</w:t>
            </w:r>
            <w:r>
              <w:t>4.4</w:t>
            </w:r>
            <w:r>
              <w:rPr>
                <w:rFonts w:hint="eastAsia"/>
              </w:rPr>
              <w:t>环境</w:t>
            </w:r>
            <w:r>
              <w:t>/</w:t>
            </w:r>
            <w:r>
              <w:rPr>
                <w:rFonts w:hint="eastAsia"/>
              </w:rPr>
              <w:t>职业健康安全管理体系及其过程、</w:t>
            </w:r>
            <w:r>
              <w:t>5.1</w:t>
            </w:r>
            <w:r>
              <w:rPr>
                <w:rFonts w:hint="eastAsia"/>
              </w:rPr>
              <w:t>领导作用和承诺、</w:t>
            </w:r>
            <w:r>
              <w:t>5.2</w:t>
            </w:r>
            <w:r>
              <w:rPr>
                <w:rFonts w:hint="eastAsia"/>
              </w:rPr>
              <w:t>环境</w:t>
            </w:r>
            <w:r>
              <w:t>/</w:t>
            </w:r>
            <w:r>
              <w:rPr>
                <w:rFonts w:hint="eastAsia"/>
              </w:rPr>
              <w:t>职业健康安全方针、</w:t>
            </w:r>
            <w:r>
              <w:t>5.3</w:t>
            </w:r>
            <w:r>
              <w:rPr>
                <w:rFonts w:hint="eastAsia"/>
              </w:rPr>
              <w:t>组织的岗位、职责和权限、</w:t>
            </w:r>
            <w:r>
              <w:t>O5.4</w:t>
            </w:r>
            <w:r>
              <w:rPr>
                <w:rFonts w:hint="eastAsia"/>
              </w:rPr>
              <w:t>协商与参与、</w:t>
            </w:r>
            <w:r>
              <w:t>6.1</w:t>
            </w:r>
            <w:r>
              <w:rPr>
                <w:rFonts w:hint="eastAsia"/>
              </w:rPr>
              <w:t>应对风险和机遇的措施、</w:t>
            </w:r>
            <w:r>
              <w:t>6.2</w:t>
            </w:r>
            <w:r>
              <w:rPr>
                <w:rFonts w:hint="eastAsia"/>
              </w:rPr>
              <w:t>环境</w:t>
            </w:r>
            <w:r>
              <w:t>/</w:t>
            </w:r>
            <w:r>
              <w:rPr>
                <w:rFonts w:hint="eastAsia"/>
              </w:rPr>
              <w:t>职业健康安全目标及其实现的策划、</w:t>
            </w:r>
            <w:r>
              <w:t>9.3</w:t>
            </w:r>
            <w:r>
              <w:rPr>
                <w:rFonts w:hint="eastAsia"/>
              </w:rPr>
              <w:t>管理评审、</w:t>
            </w:r>
            <w:r>
              <w:t>10.1</w:t>
            </w:r>
            <w:r>
              <w:rPr>
                <w:rFonts w:hint="eastAsia"/>
              </w:rPr>
              <w:t>改进、</w:t>
            </w:r>
            <w:r>
              <w:t>10.3</w:t>
            </w:r>
            <w:r>
              <w:rPr>
                <w:rFonts w:hint="eastAsia"/>
              </w:rPr>
              <w:t>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27" w:type="dxa"/>
            <w:vAlign w:val="top"/>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理解组织及其环境</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总要求</w:t>
            </w:r>
          </w:p>
          <w:p>
            <w:pPr>
              <w:spacing w:line="320" w:lineRule="exact"/>
              <w:rPr>
                <w:rFonts w:hint="default" w:ascii="Times New Roman" w:hAnsi="Times New Roman" w:eastAsia="宋体" w:cs="Times New Roman"/>
                <w:color w:val="auto"/>
                <w:kern w:val="2"/>
                <w:sz w:val="21"/>
                <w:lang w:val="en-US" w:eastAsia="zh-CN" w:bidi="ar-SA"/>
              </w:rPr>
            </w:pPr>
          </w:p>
        </w:tc>
        <w:tc>
          <w:tcPr>
            <w:tcW w:w="1206" w:type="dxa"/>
            <w:vAlign w:val="top"/>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E4.1</w:t>
            </w:r>
          </w:p>
          <w:p>
            <w:pPr>
              <w:spacing w:line="320" w:lineRule="exact"/>
              <w:rPr>
                <w:rFonts w:hint="default" w:ascii="Times New Roman" w:hAnsi="Times New Roman" w:eastAsia="宋体" w:cs="Times New Roman"/>
                <w:color w:val="auto"/>
                <w:kern w:val="2"/>
                <w:sz w:val="21"/>
                <w:lang w:val="en-US" w:eastAsia="zh-CN" w:bidi="ar-SA"/>
              </w:rPr>
            </w:pPr>
          </w:p>
        </w:tc>
        <w:tc>
          <w:tcPr>
            <w:tcW w:w="9891"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该公司20</w:t>
            </w:r>
            <w:r>
              <w:rPr>
                <w:rFonts w:hint="eastAsia" w:cs="宋体" w:asciiTheme="minorEastAsia" w:hAnsiTheme="minorEastAsia" w:eastAsiaTheme="minorEastAsia"/>
                <w:color w:val="auto"/>
                <w:szCs w:val="21"/>
                <w:lang w:val="en-US" w:eastAsia="zh-CN"/>
              </w:rPr>
              <w:t>16</w:t>
            </w:r>
            <w:r>
              <w:rPr>
                <w:rFonts w:hint="eastAsia" w:cs="宋体" w:asciiTheme="minorEastAsia" w:hAnsiTheme="minorEastAsia" w:eastAsiaTheme="minorEastAsia"/>
                <w:color w:val="auto"/>
                <w:szCs w:val="21"/>
              </w:rPr>
              <w:t>年1月注册，法人：</w:t>
            </w:r>
            <w:r>
              <w:rPr>
                <w:rFonts w:hint="eastAsia" w:cs="宋体" w:asciiTheme="minorEastAsia" w:hAnsiTheme="minorEastAsia" w:eastAsiaTheme="minorEastAsia"/>
                <w:color w:val="auto"/>
                <w:szCs w:val="21"/>
                <w:u w:val="dotted"/>
                <w:lang w:val="en-US" w:eastAsia="zh-CN"/>
              </w:rPr>
              <w:t>蒋丽娇</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，总经理：</w:t>
            </w:r>
            <w:r>
              <w:rPr>
                <w:rFonts w:hint="eastAsia" w:cs="宋体" w:asciiTheme="minorEastAsia" w:hAnsiTheme="minorEastAsia" w:eastAsiaTheme="minorEastAsia"/>
                <w:color w:val="auto"/>
                <w:szCs w:val="21"/>
                <w:lang w:val="en-US" w:eastAsia="zh-CN"/>
              </w:rPr>
              <w:t>徐健</w:t>
            </w:r>
            <w:r>
              <w:rPr>
                <w:rFonts w:hint="eastAsia" w:cs="宋体" w:asciiTheme="minorEastAsia" w:hAnsiTheme="minorEastAsia" w:eastAsiaTheme="minorEastAsia"/>
                <w:color w:val="auto"/>
                <w:szCs w:val="21"/>
              </w:rPr>
              <w:t>。</w:t>
            </w:r>
          </w:p>
          <w:p>
            <w:pPr>
              <w:spacing w:line="320" w:lineRule="exact"/>
              <w:ind w:firstLine="420" w:firstLineChars="200"/>
              <w:rPr>
                <w:rFonts w:hint="eastAsia" w:eastAsiaTheme="minorEastAsia"/>
                <w:color w:val="auto"/>
                <w:lang w:eastAsia="zh-CN"/>
              </w:rPr>
            </w:pPr>
            <w:r>
              <w:rPr>
                <w:rFonts w:hint="eastAsia" w:cs="宋体" w:asciiTheme="minorEastAsia" w:hAnsiTheme="minorEastAsia" w:eastAsiaTheme="minorEastAsia"/>
                <w:color w:val="auto"/>
                <w:szCs w:val="21"/>
              </w:rPr>
              <w:t>注册地址：</w:t>
            </w:r>
            <w:bookmarkStart w:id="1" w:name="注册地址"/>
            <w:r>
              <w:rPr>
                <w:rFonts w:asciiTheme="minorEastAsia" w:hAnsiTheme="minorEastAsia" w:eastAsiaTheme="minorEastAsia"/>
                <w:sz w:val="20"/>
              </w:rPr>
              <w:t>宜兴市高塍镇红旗路9号</w:t>
            </w:r>
            <w:bookmarkEnd w:id="1"/>
          </w:p>
          <w:p>
            <w:pPr>
              <w:spacing w:line="320" w:lineRule="exact"/>
              <w:ind w:firstLine="420" w:firstLineChars="200"/>
              <w:rPr>
                <w:rFonts w:hint="eastAsia" w:eastAsiaTheme="minorEastAsia"/>
                <w:color w:val="auto"/>
                <w:lang w:eastAsia="zh-CN"/>
              </w:rPr>
            </w:pPr>
            <w:r>
              <w:rPr>
                <w:rFonts w:hint="eastAsia" w:cs="宋体" w:asciiTheme="minorEastAsia" w:hAnsiTheme="minorEastAsia" w:eastAsiaTheme="minorEastAsia"/>
                <w:color w:val="auto"/>
                <w:szCs w:val="21"/>
              </w:rPr>
              <w:t>生产经营地址：</w:t>
            </w:r>
            <w:r>
              <w:rPr>
                <w:rFonts w:asciiTheme="minorEastAsia" w:hAnsiTheme="minorEastAsia" w:eastAsiaTheme="minorEastAsia"/>
                <w:sz w:val="20"/>
              </w:rPr>
              <w:t>宜兴市高塍镇红旗路9号</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营业执照</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环评批复、报告等</w:t>
            </w:r>
            <w:r>
              <w:rPr>
                <w:rFonts w:hint="eastAsia" w:cs="宋体" w:asciiTheme="minorEastAsia" w:hAnsiTheme="minorEastAsia" w:eastAsiaTheme="minorEastAsia"/>
                <w:color w:val="auto"/>
                <w:szCs w:val="21"/>
              </w:rPr>
              <w:t>符合要求，见附件。</w:t>
            </w:r>
          </w:p>
          <w:p>
            <w:pPr>
              <w:spacing w:line="32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认证范围为：</w:t>
            </w:r>
          </w:p>
          <w:p>
            <w:pPr>
              <w:rPr>
                <w:sz w:val="20"/>
              </w:rPr>
            </w:pPr>
            <w:bookmarkStart w:id="2" w:name="审核范围"/>
            <w:r>
              <w:rPr>
                <w:sz w:val="20"/>
              </w:rPr>
              <w:t>E：环保水处理设备的销售所涉及场所的相关环境管理活动</w:t>
            </w:r>
          </w:p>
          <w:p>
            <w:pPr>
              <w:rPr>
                <w:rFonts w:hint="eastAsia" w:ascii="宋体" w:hAnsi="宋体" w:eastAsia="宋体"/>
                <w:color w:val="auto"/>
                <w:szCs w:val="21"/>
                <w:lang w:val="en-US" w:eastAsia="zh-CN"/>
              </w:rPr>
            </w:pPr>
            <w:r>
              <w:rPr>
                <w:sz w:val="20"/>
              </w:rPr>
              <w:t>O：环保水处理设备的销售所涉及场所的相关职业健康安全管理活动</w:t>
            </w:r>
            <w:bookmarkEnd w:id="2"/>
            <w:r>
              <w:rPr>
                <w:rFonts w:hint="eastAsia" w:ascii="宋体" w:hAnsi="宋体"/>
                <w:color w:val="auto"/>
                <w:szCs w:val="21"/>
                <w:lang w:val="en-US" w:eastAsia="zh-CN"/>
              </w:rPr>
              <w:t xml:space="preserve"> </w:t>
            </w:r>
          </w:p>
          <w:p>
            <w:pPr>
              <w:spacing w:line="320" w:lineRule="exact"/>
              <w:rPr>
                <w:rFonts w:hint="default" w:cs="宋体" w:asciiTheme="minorEastAsia" w:hAnsiTheme="minorEastAsia" w:eastAsiaTheme="minorEastAsia"/>
                <w:color w:val="auto"/>
                <w:szCs w:val="21"/>
                <w:lang w:val="en-US"/>
              </w:rPr>
            </w:pPr>
            <w:r>
              <w:rPr>
                <w:rFonts w:hint="eastAsia" w:ascii="宋体" w:hAnsi="宋体" w:eastAsiaTheme="minorEastAsia"/>
                <w:color w:val="auto"/>
                <w:szCs w:val="21"/>
                <w:lang w:val="en-US" w:eastAsia="zh-CN"/>
              </w:rPr>
              <w:t xml:space="preserve"> </w:t>
            </w:r>
            <w:r>
              <w:rPr>
                <w:rFonts w:hint="eastAsia" w:cs="宋体" w:asciiTheme="minorEastAsia" w:hAnsiTheme="minorEastAsia" w:eastAsiaTheme="minorEastAsia"/>
                <w:color w:val="auto"/>
                <w:szCs w:val="21"/>
              </w:rPr>
              <w:t>公司管理体系设置了</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销售部、采购部   公司人数：15人</w:t>
            </w:r>
          </w:p>
          <w:p>
            <w:pPr>
              <w:spacing w:line="360" w:lineRule="auto"/>
              <w:ind w:firstLine="420" w:firstLineChars="200"/>
              <w:rPr>
                <w:rFonts w:hint="eastAsia"/>
                <w:lang w:val="en-US" w:eastAsia="zh-CN"/>
              </w:rPr>
            </w:pPr>
            <w:r>
              <w:rPr>
                <w:rFonts w:hint="eastAsia" w:ascii="宋体" w:hAnsi="宋体" w:eastAsia="宋体" w:cs="宋体"/>
              </w:rPr>
              <w:t>本公司占地面积10000平方米，其中生产建筑面积达5000平方米，拥有各种金属加工机床、车床、焊接、卷板、冲压，金属探伤检测设备。是一家集环保设备研发、制造、环保产品集成供应和相关技术服务为一体的环保企业。公司主要业务领域覆盖工业和市政的给水处理和污废水处理、工业纯水（除盐水）处理、软化水处理、企业废水资源化（中水回用）以及臭气收集治理。</w:t>
            </w:r>
            <w:r>
              <w:rPr>
                <w:rFonts w:hint="eastAsia" w:ascii="宋体" w:hAnsi="宋体" w:eastAsia="宋体" w:cs="宋体"/>
                <w:lang w:val="en-US" w:eastAsia="zh-CN"/>
              </w:rPr>
              <w:t xml:space="preserve"> </w:t>
            </w:r>
          </w:p>
        </w:tc>
        <w:tc>
          <w:tcPr>
            <w:tcW w:w="1585" w:type="dxa"/>
            <w:vAlign w:val="center"/>
          </w:tcPr>
          <w:p>
            <w:pPr>
              <w:rPr>
                <w:rFonts w:hint="default"/>
                <w:lang w:val="en-US" w:eastAsia="zh-CN"/>
              </w:rPr>
            </w:pPr>
            <w:r>
              <w:rPr>
                <w:rFonts w:hint="eastAsia"/>
                <w:lang w:val="en-US" w:eastAsia="zh-CN"/>
              </w:rPr>
              <w:t>Y</w:t>
            </w: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Y</w:t>
            </w: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理解相关方的需求和期望</w:t>
            </w:r>
          </w:p>
          <w:p>
            <w:pPr>
              <w:spacing w:line="320" w:lineRule="exact"/>
              <w:rPr>
                <w:rFonts w:asciiTheme="minorEastAsia" w:hAnsiTheme="minorEastAsia" w:eastAsiaTheme="minorEastAsia"/>
                <w:color w:val="auto"/>
                <w:szCs w:val="21"/>
              </w:rPr>
            </w:pPr>
          </w:p>
        </w:tc>
        <w:tc>
          <w:tcPr>
            <w:tcW w:w="1206"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E4.2</w:t>
            </w:r>
          </w:p>
          <w:p>
            <w:pPr>
              <w:spacing w:line="320" w:lineRule="exact"/>
              <w:rPr>
                <w:rFonts w:asciiTheme="minorEastAsia" w:hAnsiTheme="minorEastAsia" w:eastAsiaTheme="minorEastAsia"/>
                <w:color w:val="auto"/>
                <w:szCs w:val="21"/>
              </w:rPr>
            </w:pPr>
          </w:p>
        </w:tc>
        <w:tc>
          <w:tcPr>
            <w:tcW w:w="9891"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公司对相关方及其要求的相关信息进行监视和评审，以便于理解和持续满足相关方的需求和期望。</w:t>
            </w:r>
          </w:p>
          <w:p>
            <w:pPr>
              <w:spacing w:line="400" w:lineRule="exact"/>
              <w:rPr>
                <w:rFonts w:hint="eastAsia" w:ascii="宋体" w:hAnsi="宋体"/>
                <w:bCs/>
              </w:rPr>
            </w:pPr>
            <w:r>
              <w:rPr>
                <w:rFonts w:hint="eastAsia" w:ascii="宋体" w:hAnsi="宋体"/>
                <w:bCs/>
                <w:lang w:val="en-US" w:eastAsia="zh-CN"/>
              </w:rPr>
              <w:t>公司</w:t>
            </w:r>
            <w:r>
              <w:rPr>
                <w:rFonts w:hint="eastAsia" w:ascii="宋体" w:hAnsi="宋体"/>
                <w:bCs/>
              </w:rPr>
              <w:t>应考虑以下相关方：</w:t>
            </w:r>
          </w:p>
          <w:p>
            <w:pPr>
              <w:spacing w:line="400" w:lineRule="exact"/>
              <w:rPr>
                <w:rFonts w:hint="eastAsia" w:ascii="宋体" w:hAnsi="宋体"/>
                <w:bCs/>
              </w:rPr>
            </w:pPr>
            <w:r>
              <w:rPr>
                <w:rFonts w:hint="eastAsia" w:ascii="宋体" w:hAnsi="宋体"/>
                <w:bCs/>
              </w:rPr>
              <w:t>--顾客；</w:t>
            </w:r>
          </w:p>
          <w:p>
            <w:pPr>
              <w:spacing w:line="400" w:lineRule="exact"/>
              <w:rPr>
                <w:rFonts w:hint="eastAsia" w:ascii="宋体" w:hAnsi="宋体"/>
                <w:bCs/>
              </w:rPr>
            </w:pPr>
            <w:r>
              <w:rPr>
                <w:rFonts w:hint="eastAsia" w:ascii="宋体" w:hAnsi="宋体"/>
                <w:bCs/>
              </w:rPr>
              <w:t>--最终用户或受益人；</w:t>
            </w:r>
          </w:p>
          <w:p>
            <w:pPr>
              <w:spacing w:line="400" w:lineRule="exact"/>
              <w:rPr>
                <w:rFonts w:hint="eastAsia" w:ascii="宋体" w:hAnsi="宋体"/>
                <w:bCs/>
              </w:rPr>
            </w:pPr>
            <w:r>
              <w:rPr>
                <w:rFonts w:hint="eastAsia" w:ascii="宋体" w:hAnsi="宋体"/>
                <w:bCs/>
              </w:rPr>
              <w:t>--业主，股东；</w:t>
            </w:r>
          </w:p>
          <w:p>
            <w:pPr>
              <w:spacing w:line="400" w:lineRule="exact"/>
              <w:rPr>
                <w:rFonts w:hint="eastAsia" w:ascii="宋体" w:hAnsi="宋体"/>
                <w:bCs/>
              </w:rPr>
            </w:pPr>
            <w:r>
              <w:rPr>
                <w:rFonts w:hint="eastAsia" w:ascii="宋体" w:hAnsi="宋体"/>
                <w:bCs/>
              </w:rPr>
              <w:t>--银行；</w:t>
            </w:r>
          </w:p>
          <w:p>
            <w:pPr>
              <w:spacing w:line="400" w:lineRule="exact"/>
              <w:rPr>
                <w:rFonts w:hint="eastAsia" w:ascii="宋体" w:hAnsi="宋体"/>
                <w:bCs/>
              </w:rPr>
            </w:pPr>
            <w:r>
              <w:rPr>
                <w:rFonts w:hint="eastAsia" w:ascii="宋体" w:hAnsi="宋体"/>
                <w:bCs/>
              </w:rPr>
              <w:t>--外部供应商；</w:t>
            </w:r>
          </w:p>
          <w:p>
            <w:pPr>
              <w:spacing w:line="400" w:lineRule="exact"/>
              <w:rPr>
                <w:rFonts w:hint="eastAsia" w:ascii="宋体" w:hAnsi="宋体"/>
                <w:bCs/>
              </w:rPr>
            </w:pPr>
            <w:r>
              <w:rPr>
                <w:rFonts w:hint="eastAsia" w:ascii="宋体" w:hAnsi="宋体"/>
                <w:bCs/>
              </w:rPr>
              <w:t>--雇员及其他为组织工作者；</w:t>
            </w:r>
          </w:p>
          <w:p>
            <w:pPr>
              <w:spacing w:line="400" w:lineRule="exact"/>
              <w:rPr>
                <w:rFonts w:hint="eastAsia" w:ascii="宋体" w:hAnsi="宋体"/>
                <w:bCs/>
                <w:szCs w:val="21"/>
              </w:rPr>
            </w:pPr>
            <w:r>
              <w:rPr>
                <w:rFonts w:hint="eastAsia" w:ascii="宋体" w:hAnsi="宋体"/>
                <w:bCs/>
              </w:rPr>
              <w:t>--法律法规及监管机关；</w:t>
            </w:r>
          </w:p>
          <w:p>
            <w:pPr>
              <w:spacing w:line="400" w:lineRule="exact"/>
              <w:rPr>
                <w:rFonts w:hint="eastAsia" w:ascii="宋体" w:hAnsi="宋体"/>
                <w:bCs/>
                <w:szCs w:val="21"/>
              </w:rPr>
            </w:pPr>
            <w:r>
              <w:rPr>
                <w:rFonts w:hint="eastAsia" w:ascii="宋体" w:hAnsi="宋体"/>
                <w:bCs/>
                <w:szCs w:val="21"/>
              </w:rPr>
              <w:t>--地方社区团体；</w:t>
            </w:r>
          </w:p>
          <w:p>
            <w:pPr>
              <w:spacing w:line="400" w:lineRule="exact"/>
              <w:rPr>
                <w:rFonts w:hint="eastAsia" w:ascii="宋体" w:hAnsi="宋体"/>
                <w:bCs/>
                <w:szCs w:val="21"/>
              </w:rPr>
            </w:pPr>
            <w:r>
              <w:rPr>
                <w:rFonts w:hint="eastAsia" w:ascii="宋体" w:hAnsi="宋体"/>
                <w:bCs/>
                <w:szCs w:val="21"/>
              </w:rPr>
              <w:t>--非政府组织；。</w:t>
            </w:r>
          </w:p>
          <w:p>
            <w:pPr>
              <w:tabs>
                <w:tab w:val="center" w:pos="3169"/>
              </w:tabs>
              <w:spacing w:line="320" w:lineRule="exact"/>
              <w:jc w:val="left"/>
              <w:rPr>
                <w:color w:val="auto"/>
                <w:szCs w:val="21"/>
              </w:rPr>
            </w:pPr>
            <w:r>
              <w:rPr>
                <w:rFonts w:hint="eastAsia"/>
                <w:color w:val="auto"/>
                <w:szCs w:val="21"/>
              </w:rPr>
              <w:t>公司明确风险和机遇事件的识别方法/途径、风险和机遇事件的评估方式、制定主要风险和机遇事件的应对措施的要求：公司全体员工的销售和服务质量意识比较强，安全意识强、监控手段健全，财务管理基本完善等。</w:t>
            </w:r>
          </w:p>
          <w:p>
            <w:pPr>
              <w:tabs>
                <w:tab w:val="center" w:pos="3169"/>
              </w:tabs>
              <w:spacing w:line="320" w:lineRule="exact"/>
              <w:jc w:val="left"/>
              <w:rPr>
                <w:color w:val="auto"/>
                <w:szCs w:val="21"/>
              </w:rPr>
            </w:pPr>
            <w:r>
              <w:rPr>
                <w:rFonts w:hint="eastAsia"/>
                <w:color w:val="auto"/>
                <w:szCs w:val="21"/>
              </w:rPr>
              <w:t>对公司不利的内、外部因素有：目前企业规模小，同行业</w:t>
            </w:r>
            <w:r>
              <w:rPr>
                <w:rFonts w:hint="eastAsia" w:ascii="宋体" w:hAnsi="宋体" w:cs="宋体"/>
                <w:color w:val="auto"/>
                <w:szCs w:val="21"/>
              </w:rPr>
              <w:t>市场竞争激烈，产品销售市场的多样化、利润降低</w:t>
            </w:r>
            <w:r>
              <w:rPr>
                <w:rFonts w:hint="eastAsia"/>
                <w:color w:val="auto"/>
                <w:szCs w:val="21"/>
              </w:rPr>
              <w:t>等。</w:t>
            </w:r>
          </w:p>
          <w:p>
            <w:pPr>
              <w:tabs>
                <w:tab w:val="center" w:pos="3169"/>
              </w:tabs>
              <w:spacing w:line="320" w:lineRule="exact"/>
              <w:jc w:val="left"/>
              <w:rPr>
                <w:color w:val="auto"/>
                <w:szCs w:val="21"/>
              </w:rPr>
            </w:pPr>
            <w:r>
              <w:rPr>
                <w:rFonts w:hint="eastAsia"/>
                <w:color w:val="auto"/>
                <w:szCs w:val="21"/>
              </w:rPr>
              <w:t>公司通过业内展会、同行交流、座谈会、每周工作例会、QQ、微信等进行内外部沟通，并定期进行评审，形成会议记录。</w:t>
            </w:r>
          </w:p>
          <w:p>
            <w:pPr>
              <w:rPr>
                <w:color w:val="auto"/>
                <w:szCs w:val="21"/>
              </w:rPr>
            </w:pPr>
            <w:r>
              <w:rPr>
                <w:rFonts w:hint="eastAsia"/>
                <w:color w:val="auto"/>
                <w:szCs w:val="21"/>
              </w:rPr>
              <w:t xml:space="preserve">抽查《风险和机遇评估分析表》，《内外部环境识别》 </w:t>
            </w:r>
            <w:r>
              <w:rPr>
                <w:rFonts w:hint="eastAsia"/>
                <w:color w:val="auto"/>
                <w:szCs w:val="21"/>
                <w:lang w:eastAsia="zh-CN"/>
              </w:rPr>
              <w:t>《</w:t>
            </w:r>
            <w:r>
              <w:rPr>
                <w:rFonts w:hint="eastAsia"/>
                <w:color w:val="auto"/>
                <w:szCs w:val="21"/>
                <w:lang w:val="en-US" w:eastAsia="zh-CN"/>
              </w:rPr>
              <w:t>相关方告知书</w:t>
            </w:r>
            <w:r>
              <w:rPr>
                <w:rFonts w:hint="eastAsia"/>
                <w:color w:val="auto"/>
                <w:szCs w:val="21"/>
                <w:lang w:eastAsia="zh-CN"/>
              </w:rPr>
              <w:t>》</w:t>
            </w:r>
            <w:r>
              <w:rPr>
                <w:rFonts w:hint="eastAsia"/>
                <w:color w:val="auto"/>
                <w:szCs w:val="21"/>
              </w:rPr>
              <w:t>分析的内容及记录清晰。</w:t>
            </w:r>
          </w:p>
          <w:p>
            <w:pPr>
              <w:tabs>
                <w:tab w:val="center" w:pos="3169"/>
              </w:tabs>
              <w:spacing w:line="320" w:lineRule="exact"/>
              <w:jc w:val="left"/>
              <w:rPr>
                <w:color w:val="auto"/>
                <w:szCs w:val="21"/>
              </w:rPr>
            </w:pPr>
            <w:r>
              <w:rPr>
                <w:rFonts w:hint="eastAsia"/>
                <w:color w:val="auto"/>
                <w:szCs w:val="21"/>
              </w:rPr>
              <w:t>理解员工诉求的形式为谈心、茶话会等；理解银行等相关方的形式主要为电话沟通、上门拜访等；</w:t>
            </w:r>
          </w:p>
          <w:p>
            <w:pPr>
              <w:tabs>
                <w:tab w:val="center" w:pos="3169"/>
              </w:tabs>
              <w:spacing w:line="320" w:lineRule="exact"/>
              <w:jc w:val="left"/>
              <w:rPr>
                <w:color w:val="auto"/>
                <w:szCs w:val="21"/>
              </w:rPr>
            </w:pPr>
            <w:r>
              <w:rPr>
                <w:rFonts w:hint="eastAsia"/>
                <w:color w:val="auto"/>
                <w:szCs w:val="21"/>
              </w:rPr>
              <w:t>员工关注的主要问题有工资、待遇、晋升机制、福利等，供应商和合作伙伴关注的主要问题是稳定、持续地合作，互利双赢，建立友好关系，不发生环境安全事故、环保运输，固废排放。车</w:t>
            </w:r>
            <w:r>
              <w:rPr>
                <w:rFonts w:hint="eastAsia"/>
                <w:color w:val="auto"/>
                <w:szCs w:val="21"/>
                <w:lang w:val="en-US" w:eastAsia="zh-CN"/>
              </w:rPr>
              <w:t>辆</w:t>
            </w:r>
            <w:r>
              <w:rPr>
                <w:rFonts w:hint="eastAsia"/>
                <w:color w:val="auto"/>
                <w:szCs w:val="21"/>
              </w:rPr>
              <w:t>尾气排放、符合法律法规等。</w:t>
            </w:r>
          </w:p>
          <w:p>
            <w:pPr>
              <w:spacing w:line="320" w:lineRule="exact"/>
              <w:ind w:firstLine="210" w:firstLineChars="100"/>
              <w:rPr>
                <w:rFonts w:ascii="宋体" w:hAnsi="宋体" w:cs="宋体"/>
                <w:color w:val="auto"/>
                <w:szCs w:val="21"/>
              </w:rPr>
            </w:pPr>
            <w:r>
              <w:rPr>
                <w:rFonts w:hint="eastAsia" w:ascii="宋体" w:hAnsi="宋体" w:cs="宋体"/>
                <w:color w:val="auto"/>
                <w:szCs w:val="21"/>
                <w:lang w:val="en-US" w:eastAsia="zh-CN"/>
              </w:rPr>
              <w:t xml:space="preserve"> </w:t>
            </w:r>
            <w:r>
              <w:rPr>
                <w:rFonts w:hint="eastAsia"/>
                <w:color w:val="auto"/>
                <w:szCs w:val="21"/>
              </w:rPr>
              <w:t>对相关方的要求的监视和评审的方法多样，通过QQ和微信等现代通讯手段是常用的便捷而又高效</w:t>
            </w:r>
            <w:r>
              <w:rPr>
                <w:rFonts w:hint="eastAsia" w:cs="宋体" w:asciiTheme="minorEastAsia" w:hAnsiTheme="minorEastAsia" w:eastAsiaTheme="minorEastAsia"/>
                <w:color w:val="auto"/>
                <w:szCs w:val="21"/>
              </w:rPr>
              <w:t>。</w:t>
            </w:r>
            <w:r>
              <w:rPr>
                <w:rFonts w:hint="eastAsia"/>
                <w:color w:val="auto"/>
                <w:szCs w:val="21"/>
              </w:rPr>
              <w:t>风险和机遇评估</w:t>
            </w:r>
            <w:r>
              <w:rPr>
                <w:rFonts w:hint="eastAsia" w:cs="宋体" w:asciiTheme="minorEastAsia" w:hAnsiTheme="minorEastAsia" w:eastAsiaTheme="minorEastAsia"/>
                <w:color w:val="auto"/>
                <w:szCs w:val="21"/>
              </w:rPr>
              <w:t>分析基本到位。</w:t>
            </w:r>
          </w:p>
        </w:tc>
        <w:tc>
          <w:tcPr>
            <w:tcW w:w="1585" w:type="dxa"/>
            <w:vAlign w:val="center"/>
          </w:tcPr>
          <w:p>
            <w:pPr>
              <w:spacing w:line="320" w:lineRule="exact"/>
              <w:ind w:firstLine="210" w:firstLineChars="100"/>
              <w:rPr>
                <w:rFonts w:hint="default" w:ascii="宋体" w:hAnsi="宋体" w:cs="宋体"/>
                <w:color w:val="auto"/>
                <w:szCs w:val="21"/>
                <w:lang w:val="en-US" w:eastAsia="zh-CN"/>
              </w:rPr>
            </w:pPr>
            <w:r>
              <w:rPr>
                <w:rFonts w:hint="eastAsia" w:ascii="宋体" w:hAnsi="宋体" w:cs="宋体"/>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确定管理体系的范围</w:t>
            </w:r>
          </w:p>
          <w:p>
            <w:pPr>
              <w:spacing w:line="320" w:lineRule="exact"/>
              <w:rPr>
                <w:rFonts w:asciiTheme="minorEastAsia" w:hAnsiTheme="minorEastAsia" w:eastAsiaTheme="minorEastAsia"/>
                <w:color w:val="auto"/>
                <w:szCs w:val="21"/>
              </w:rPr>
            </w:pPr>
          </w:p>
        </w:tc>
        <w:tc>
          <w:tcPr>
            <w:tcW w:w="1206"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E4.3</w:t>
            </w:r>
          </w:p>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9891" w:type="dxa"/>
            <w:vAlign w:val="center"/>
          </w:tcPr>
          <w:p>
            <w:pPr>
              <w:spacing w:line="32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公司管理体系范围为：</w:t>
            </w:r>
          </w:p>
          <w:p>
            <w:pPr>
              <w:rPr>
                <w:sz w:val="20"/>
              </w:rPr>
            </w:pPr>
            <w:r>
              <w:rPr>
                <w:sz w:val="20"/>
              </w:rPr>
              <w:t>E：环保水处理设备的销售所涉及场所的相关环境管理活动</w:t>
            </w:r>
          </w:p>
          <w:p>
            <w:pPr>
              <w:rPr>
                <w:rFonts w:hint="eastAsia" w:eastAsia="宋体" w:asciiTheme="minorEastAsia" w:hAnsiTheme="minorEastAsia"/>
                <w:color w:val="auto"/>
                <w:szCs w:val="21"/>
                <w:lang w:val="en-US" w:eastAsia="zh-CN"/>
              </w:rPr>
            </w:pPr>
            <w:r>
              <w:rPr>
                <w:sz w:val="20"/>
              </w:rPr>
              <w:t>O：环保水处理设备的销售所涉及场所的相关职业健康安全管理活动</w:t>
            </w:r>
            <w:r>
              <w:rPr>
                <w:rFonts w:hint="eastAsia" w:ascii="宋体" w:hAnsi="宋体"/>
                <w:color w:val="auto"/>
                <w:szCs w:val="21"/>
                <w:lang w:val="en-US" w:eastAsia="zh-CN"/>
              </w:rPr>
              <w:t xml:space="preserve"> </w:t>
            </w:r>
          </w:p>
        </w:tc>
        <w:tc>
          <w:tcPr>
            <w:tcW w:w="1585" w:type="dxa"/>
            <w:vAlign w:val="center"/>
          </w:tcPr>
          <w:p>
            <w:pPr>
              <w:rPr>
                <w:rFonts w:hint="eastAsia" w:eastAsia="宋体"/>
                <w:sz w:val="20"/>
                <w:lang w:val="en-US" w:eastAsia="zh-CN"/>
              </w:rPr>
            </w:pPr>
            <w:r>
              <w:rPr>
                <w:rFonts w:hint="eastAsia"/>
                <w:sz w:val="2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管理体系及其过程</w:t>
            </w:r>
          </w:p>
          <w:p>
            <w:pPr>
              <w:spacing w:line="320" w:lineRule="exact"/>
              <w:rPr>
                <w:rFonts w:asciiTheme="minorEastAsia" w:hAnsiTheme="minorEastAsia" w:eastAsiaTheme="minorEastAsia"/>
                <w:color w:val="auto"/>
                <w:szCs w:val="21"/>
              </w:rPr>
            </w:pPr>
          </w:p>
        </w:tc>
        <w:tc>
          <w:tcPr>
            <w:tcW w:w="1206"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E4.4</w:t>
            </w:r>
          </w:p>
          <w:p>
            <w:pPr>
              <w:spacing w:line="320" w:lineRule="exact"/>
              <w:rPr>
                <w:rFonts w:asciiTheme="minorEastAsia" w:hAnsiTheme="minorEastAsia" w:eastAsiaTheme="minorEastAsia"/>
                <w:color w:val="auto"/>
                <w:szCs w:val="21"/>
              </w:rPr>
            </w:pPr>
          </w:p>
        </w:tc>
        <w:tc>
          <w:tcPr>
            <w:tcW w:w="9891"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该公司</w:t>
            </w:r>
            <w:r>
              <w:rPr>
                <w:rFonts w:hint="eastAsia" w:cs="宋体" w:asciiTheme="minorEastAsia" w:hAnsiTheme="minorEastAsia" w:eastAsiaTheme="minorEastAsia"/>
                <w:color w:val="auto"/>
                <w:szCs w:val="21"/>
                <w:lang w:val="en-US" w:eastAsia="zh-CN"/>
              </w:rPr>
              <w:t>于</w:t>
            </w:r>
            <w:r>
              <w:rPr>
                <w:rFonts w:hint="eastAsia" w:cs="宋体" w:asciiTheme="minorEastAsia" w:hAnsiTheme="minorEastAsia" w:eastAsiaTheme="minorEastAsia"/>
                <w:color w:val="auto"/>
                <w:szCs w:val="21"/>
                <w:lang w:eastAsia="zh-CN"/>
              </w:rPr>
              <w:t>20</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lang w:eastAsia="zh-CN"/>
              </w:rPr>
              <w:t>年</w:t>
            </w:r>
            <w:r>
              <w:rPr>
                <w:rFonts w:hint="eastAsia" w:cs="宋体" w:asciiTheme="minorEastAsia" w:hAnsiTheme="minorEastAsia" w:eastAsiaTheme="minorEastAsia"/>
                <w:color w:val="auto"/>
                <w:szCs w:val="21"/>
                <w:lang w:val="en-US" w:eastAsia="zh-CN"/>
              </w:rPr>
              <w:t>12</w:t>
            </w:r>
            <w:r>
              <w:rPr>
                <w:rFonts w:hint="eastAsia" w:cs="宋体" w:asciiTheme="minorEastAsia" w:hAnsiTheme="minorEastAsia" w:eastAsiaTheme="minorEastAsia"/>
                <w:color w:val="auto"/>
                <w:szCs w:val="21"/>
                <w:lang w:eastAsia="zh-CN"/>
              </w:rPr>
              <w:t>月</w:t>
            </w:r>
            <w:r>
              <w:rPr>
                <w:rFonts w:hint="eastAsia" w:cs="宋体" w:asciiTheme="minorEastAsia" w:hAnsiTheme="minorEastAsia" w:eastAsiaTheme="minorEastAsia"/>
                <w:color w:val="auto"/>
                <w:szCs w:val="21"/>
                <w:lang w:val="en-US" w:eastAsia="zh-CN"/>
              </w:rPr>
              <w:t>15</w:t>
            </w:r>
            <w:r>
              <w:rPr>
                <w:rFonts w:hint="eastAsia" w:cs="宋体" w:asciiTheme="minorEastAsia" w:hAnsiTheme="minorEastAsia" w:eastAsiaTheme="minorEastAsia"/>
                <w:color w:val="auto"/>
                <w:szCs w:val="21"/>
                <w:lang w:eastAsia="zh-CN"/>
              </w:rPr>
              <w:t>日</w:t>
            </w:r>
            <w:r>
              <w:rPr>
                <w:rFonts w:hint="eastAsia" w:cs="宋体" w:asciiTheme="minorEastAsia" w:hAnsiTheme="minorEastAsia" w:eastAsiaTheme="minorEastAsia"/>
                <w:color w:val="auto"/>
                <w:szCs w:val="21"/>
              </w:rPr>
              <w:t>根据自身的实际情况和标准的要求编制了管理手册、程序文件、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Pr>
                <w:rFonts w:hint="eastAsia" w:cs="宋体" w:asciiTheme="minorEastAsia" w:hAnsiTheme="minorEastAsia" w:eastAsiaTheme="minorEastAsia"/>
                <w:color w:val="auto"/>
                <w:szCs w:val="21"/>
                <w:lang w:eastAsia="zh-CN"/>
              </w:rPr>
              <w:t>了</w:t>
            </w:r>
            <w:r>
              <w:rPr>
                <w:rFonts w:hint="eastAsia" w:cs="宋体" w:asciiTheme="minorEastAsia" w:hAnsiTheme="minorEastAsia" w:eastAsiaTheme="minorEastAsia"/>
                <w:color w:val="auto"/>
                <w:szCs w:val="21"/>
                <w:lang w:val="en-US" w:eastAsia="zh-CN"/>
              </w:rPr>
              <w:t>2022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30日</w:t>
            </w:r>
            <w:r>
              <w:rPr>
                <w:rFonts w:hint="eastAsia" w:cs="宋体" w:asciiTheme="minorEastAsia" w:hAnsiTheme="minorEastAsia" w:eastAsiaTheme="minorEastAsia"/>
                <w:color w:val="auto"/>
                <w:szCs w:val="21"/>
              </w:rPr>
              <w:t>管理目标分解及完成情况记录。</w:t>
            </w:r>
          </w:p>
          <w:p>
            <w:pPr>
              <w:spacing w:line="400" w:lineRule="exact"/>
              <w:rPr>
                <w:rFonts w:hint="default" w:ascii="宋体" w:hAnsi="宋体"/>
                <w:b/>
                <w:bCs w:val="0"/>
                <w:szCs w:val="21"/>
                <w:lang w:val="en-US" w:eastAsia="zh-CN"/>
              </w:rPr>
            </w:pPr>
            <w:r>
              <w:rPr>
                <w:rFonts w:hint="eastAsia" w:cs="宋体" w:asciiTheme="minorEastAsia" w:hAnsiTheme="minorEastAsia" w:eastAsiaTheme="minorEastAsia"/>
                <w:color w:val="auto"/>
                <w:szCs w:val="21"/>
                <w:lang w:val="en-US" w:eastAsia="zh-CN"/>
              </w:rPr>
              <w:t>公司对主要工程</w:t>
            </w:r>
            <w:r>
              <w:rPr>
                <w:rFonts w:hint="eastAsia" w:ascii="宋体" w:hAnsi="宋体"/>
                <w:b/>
                <w:bCs w:val="0"/>
                <w:szCs w:val="21"/>
                <w:lang w:eastAsia="zh-CN"/>
              </w:rPr>
              <w:t>环保水处理设备的销售</w:t>
            </w:r>
            <w:r>
              <w:rPr>
                <w:rFonts w:hint="eastAsia" w:ascii="宋体" w:hAnsi="宋体"/>
                <w:b/>
                <w:bCs w:val="0"/>
                <w:szCs w:val="21"/>
                <w:lang w:val="en-US" w:eastAsia="zh-CN"/>
              </w:rPr>
              <w:t>进行了识别与控制，</w:t>
            </w:r>
          </w:p>
          <w:p>
            <w:pPr>
              <w:tabs>
                <w:tab w:val="left" w:pos="426"/>
              </w:tabs>
              <w:spacing w:line="400" w:lineRule="exact"/>
              <w:ind w:right="246" w:rightChars="117"/>
              <w:rPr>
                <w:rFonts w:ascii="宋体" w:hAnsi="宋体"/>
                <w:bCs/>
              </w:rPr>
            </w:pPr>
            <w:r>
              <w:rPr>
                <w:rFonts w:hint="eastAsia" w:ascii="宋体" w:hAnsi="宋体"/>
                <w:bCs/>
                <w:lang w:val="en-US" w:eastAsia="zh-CN"/>
              </w:rPr>
              <w:t>1、</w:t>
            </w:r>
            <w:r>
              <w:rPr>
                <w:rFonts w:hint="eastAsia" w:ascii="宋体" w:hAnsi="宋体"/>
                <w:bCs/>
              </w:rPr>
              <w:t>制定文件确定过程实施所需的准则、方法、测量及相关的绩效指标，以确保这些过程的有效运行和控制；</w:t>
            </w:r>
          </w:p>
          <w:p>
            <w:pPr>
              <w:tabs>
                <w:tab w:val="left" w:pos="0"/>
              </w:tabs>
              <w:spacing w:line="400" w:lineRule="exact"/>
              <w:rPr>
                <w:rFonts w:ascii="宋体" w:hAnsi="宋体"/>
                <w:bCs/>
              </w:rPr>
            </w:pPr>
            <w:r>
              <w:rPr>
                <w:rFonts w:hint="eastAsia" w:ascii="宋体" w:hAnsi="宋体"/>
                <w:bCs/>
                <w:lang w:val="en-US" w:eastAsia="zh-CN"/>
              </w:rPr>
              <w:t>2、</w:t>
            </w:r>
            <w:r>
              <w:rPr>
                <w:rFonts w:hint="eastAsia" w:ascii="宋体" w:hAnsi="宋体"/>
                <w:bCs/>
              </w:rPr>
              <w:t>确定和提供每个过程实施所需的资源；</w:t>
            </w:r>
          </w:p>
          <w:p>
            <w:pPr>
              <w:tabs>
                <w:tab w:val="left" w:pos="0"/>
              </w:tabs>
              <w:spacing w:line="400" w:lineRule="exact"/>
              <w:rPr>
                <w:rFonts w:ascii="宋体" w:hAnsi="宋体"/>
                <w:bCs/>
              </w:rPr>
            </w:pPr>
            <w:r>
              <w:rPr>
                <w:rFonts w:hint="eastAsia" w:ascii="宋体" w:hAnsi="宋体"/>
                <w:bCs/>
                <w:lang w:val="en-US" w:eastAsia="zh-CN"/>
              </w:rPr>
              <w:t>3、</w:t>
            </w:r>
            <w:r>
              <w:rPr>
                <w:rFonts w:hint="eastAsia" w:ascii="宋体" w:hAnsi="宋体"/>
                <w:bCs/>
              </w:rPr>
              <w:t>规定每个过程相关执行人员的职责和权限；</w:t>
            </w:r>
          </w:p>
          <w:p>
            <w:pPr>
              <w:tabs>
                <w:tab w:val="left" w:pos="0"/>
              </w:tabs>
              <w:spacing w:line="400" w:lineRule="exact"/>
              <w:rPr>
                <w:rFonts w:ascii="宋体" w:hAnsi="宋体"/>
                <w:bCs/>
              </w:rPr>
            </w:pPr>
            <w:r>
              <w:rPr>
                <w:rFonts w:hint="eastAsia" w:ascii="宋体" w:hAnsi="宋体"/>
                <w:bCs/>
              </w:rPr>
              <w:t>4</w:t>
            </w:r>
            <w:r>
              <w:rPr>
                <w:rFonts w:hint="eastAsia" w:ascii="宋体" w:hAnsi="宋体"/>
                <w:bCs/>
                <w:lang w:eastAsia="zh-CN"/>
              </w:rPr>
              <w:t>、</w:t>
            </w:r>
            <w:r>
              <w:rPr>
                <w:rFonts w:hint="eastAsia" w:ascii="宋体" w:hAnsi="宋体"/>
                <w:bCs/>
              </w:rPr>
              <w:t>依照规定实施各个流程,以实现策划的结果；</w:t>
            </w:r>
          </w:p>
          <w:p>
            <w:pPr>
              <w:tabs>
                <w:tab w:val="left" w:pos="1134"/>
              </w:tabs>
              <w:spacing w:line="400" w:lineRule="exact"/>
              <w:rPr>
                <w:rFonts w:ascii="宋体" w:hAnsi="宋体"/>
                <w:bCs/>
              </w:rPr>
            </w:pPr>
            <w:r>
              <w:rPr>
                <w:rFonts w:hint="eastAsia" w:ascii="宋体" w:hAnsi="宋体"/>
                <w:bCs/>
                <w:lang w:val="en-US" w:eastAsia="zh-CN"/>
              </w:rPr>
              <w:t>5、</w:t>
            </w:r>
            <w:r>
              <w:rPr>
                <w:rFonts w:hint="eastAsia" w:ascii="宋体" w:hAnsi="宋体"/>
                <w:bCs/>
              </w:rPr>
              <w:t>对过程进行监测和分析,定期进行体系评审,必要时变更过程,以确保过程持续产生公司期望的结果；</w:t>
            </w:r>
          </w:p>
          <w:p>
            <w:pPr>
              <w:tabs>
                <w:tab w:val="left" w:pos="0"/>
              </w:tabs>
              <w:spacing w:line="400" w:lineRule="exact"/>
              <w:rPr>
                <w:rFonts w:cs="宋体" w:asciiTheme="minorEastAsia" w:hAnsiTheme="minorEastAsia" w:eastAsiaTheme="minorEastAsia"/>
                <w:color w:val="auto"/>
                <w:szCs w:val="21"/>
              </w:rPr>
            </w:pPr>
            <w:r>
              <w:rPr>
                <w:rFonts w:hint="eastAsia" w:ascii="宋体" w:hAnsi="宋体"/>
                <w:bCs/>
                <w:lang w:val="en-US" w:eastAsia="zh-CN"/>
              </w:rPr>
              <w:t>6、</w:t>
            </w:r>
            <w:r>
              <w:rPr>
                <w:rFonts w:hint="eastAsia" w:ascii="宋体" w:hAnsi="宋体"/>
                <w:bCs/>
              </w:rPr>
              <w:t>采取改进措施，确保持续改进过程以及实现结果。</w:t>
            </w:r>
          </w:p>
          <w:p>
            <w:pPr>
              <w:pStyle w:val="25"/>
              <w:numPr>
                <w:ilvl w:val="0"/>
                <w:numId w:val="0"/>
              </w:numPr>
              <w:spacing w:line="320" w:lineRule="exact"/>
              <w:ind w:leftChars="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公司通过监视和评审有关相关方及其有关要求的信息，实现持续改进。</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通过供应商的选择和评定来控制风险，通过签订客户协议和供应商协议的条款把控风险。</w:t>
            </w:r>
            <w:r>
              <w:rPr>
                <w:rFonts w:hint="eastAsia" w:cs="宋体" w:asciiTheme="minorEastAsia" w:hAnsiTheme="minorEastAsia" w:eastAsiaTheme="minorEastAsia"/>
                <w:color w:val="auto"/>
                <w:szCs w:val="21"/>
                <w:lang w:val="en-US" w:eastAsia="zh-CN"/>
              </w:rPr>
              <w:t>通过</w:t>
            </w:r>
            <w:r>
              <w:rPr>
                <w:rFonts w:hint="eastAsia" w:cs="宋体" w:asciiTheme="minorEastAsia" w:hAnsiTheme="minorEastAsia" w:eastAsiaTheme="minorEastAsia"/>
                <w:color w:val="auto"/>
                <w:szCs w:val="21"/>
              </w:rPr>
              <w:t>识别</w:t>
            </w:r>
            <w:r>
              <w:rPr>
                <w:rFonts w:hint="eastAsia" w:asciiTheme="minorEastAsia" w:hAnsiTheme="minorEastAsia" w:eastAsiaTheme="minorEastAsia"/>
                <w:color w:val="auto"/>
                <w:szCs w:val="21"/>
                <w:lang w:eastAsia="zh-CN"/>
              </w:rPr>
              <w:t>生产及销售</w:t>
            </w:r>
            <w:r>
              <w:rPr>
                <w:rFonts w:hint="eastAsia" w:cs="宋体" w:asciiTheme="minorEastAsia" w:hAnsiTheme="minorEastAsia" w:eastAsiaTheme="minorEastAsia"/>
                <w:color w:val="auto"/>
                <w:szCs w:val="21"/>
              </w:rPr>
              <w:t>风险及具体应对措施，采购的风险，严格选择合格供方，通过采购合同或协议与销售合同或协议的条款匹配来控制风险，</w:t>
            </w:r>
            <w:r>
              <w:rPr>
                <w:rFonts w:hint="eastAsia" w:asciiTheme="minorEastAsia" w:hAnsiTheme="minorEastAsia" w:eastAsiaTheme="minorEastAsia"/>
                <w:color w:val="auto"/>
                <w:szCs w:val="21"/>
                <w:lang w:eastAsia="zh-CN"/>
              </w:rPr>
              <w:t>销售</w:t>
            </w:r>
            <w:r>
              <w:rPr>
                <w:rFonts w:hint="eastAsia" w:cs="宋体" w:asciiTheme="minorEastAsia" w:hAnsiTheme="minorEastAsia" w:eastAsiaTheme="minorEastAsia"/>
                <w:color w:val="auto"/>
                <w:szCs w:val="21"/>
              </w:rPr>
              <w:t>的风险、交付等风险控制。</w:t>
            </w:r>
          </w:p>
        </w:tc>
        <w:tc>
          <w:tcPr>
            <w:tcW w:w="1585" w:type="dxa"/>
            <w:vAlign w:val="center"/>
          </w:tcPr>
          <w:p>
            <w:pPr>
              <w:pStyle w:val="25"/>
              <w:numPr>
                <w:ilvl w:val="0"/>
                <w:numId w:val="0"/>
              </w:numPr>
              <w:spacing w:line="320" w:lineRule="exact"/>
              <w:ind w:leftChars="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领导作用与承诺</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tc>
        <w:tc>
          <w:tcPr>
            <w:tcW w:w="1206"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5.1</w:t>
            </w:r>
          </w:p>
          <w:p>
            <w:pPr>
              <w:spacing w:line="320" w:lineRule="exact"/>
              <w:rPr>
                <w:rFonts w:cs="宋体"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9891"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公司主要</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承诺有：</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对质量、环境和职业健康安全管理体系的有效性承担责任；</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确保制定质量、环境和职业健康安全管理体系的质量环境安全方针和质量环境安全目标，并与公司环境和战略方向相一致；</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确保质量、环境和职业健康安全管理体系要求融入与公司的业务过程；</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促进使用过程方法和基于风险的思维；</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确保获得质量、环境和职业健康安全管理体系所需的资源；</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沟通有效的质量、环境和职业健康安全管理和符合质量、环境和职业健康安全管理体系要求的重要性；</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确保实现质量、环境和职业健康安全管理体系的预期结果；</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促使、指导和支持员工努力提高质量、环境和职业健康安全管理体系的有效性；</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推动改进；</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支持其他管理者履行其相关领域的职责。</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对全体员工进行了顾客关注焦点的宣传和培训，制定了</w:t>
            </w:r>
            <w:r>
              <w:rPr>
                <w:rFonts w:hint="eastAsia" w:cs="宋体" w:asciiTheme="minorEastAsia" w:hAnsiTheme="minorEastAsia" w:eastAsiaTheme="minorEastAsia"/>
                <w:color w:val="auto"/>
                <w:szCs w:val="21"/>
                <w:lang w:val="en-US" w:eastAsia="zh-CN"/>
              </w:rPr>
              <w:t>公司的</w:t>
            </w:r>
            <w:r>
              <w:rPr>
                <w:rFonts w:hint="eastAsia" w:cs="宋体" w:asciiTheme="minorEastAsia" w:hAnsiTheme="minorEastAsia" w:eastAsiaTheme="minorEastAsia"/>
                <w:color w:val="auto"/>
                <w:szCs w:val="21"/>
              </w:rPr>
              <w:t>管理</w:t>
            </w:r>
            <w:r>
              <w:rPr>
                <w:rFonts w:hint="eastAsia" w:cs="宋体" w:asciiTheme="minorEastAsia" w:hAnsiTheme="minorEastAsia" w:eastAsiaTheme="minorEastAsia"/>
                <w:color w:val="auto"/>
                <w:szCs w:val="21"/>
                <w:lang w:val="en-US" w:eastAsia="zh-CN"/>
              </w:rPr>
              <w:t>体系</w:t>
            </w:r>
            <w:r>
              <w:rPr>
                <w:rFonts w:hint="eastAsia" w:cs="宋体" w:asciiTheme="minorEastAsia" w:hAnsiTheme="minorEastAsia" w:eastAsiaTheme="minorEastAsia"/>
                <w:color w:val="auto"/>
                <w:szCs w:val="21"/>
              </w:rPr>
              <w:t>文件和管理</w:t>
            </w:r>
            <w:r>
              <w:rPr>
                <w:rFonts w:hint="eastAsia" w:cs="宋体" w:asciiTheme="minorEastAsia" w:hAnsiTheme="minorEastAsia" w:eastAsiaTheme="minorEastAsia"/>
                <w:color w:val="auto"/>
                <w:szCs w:val="21"/>
                <w:lang w:val="en-US" w:eastAsia="zh-CN"/>
              </w:rPr>
              <w:t>方针、管理</w:t>
            </w:r>
            <w:r>
              <w:rPr>
                <w:rFonts w:hint="eastAsia" w:cs="宋体" w:asciiTheme="minorEastAsia" w:hAnsiTheme="minorEastAsia" w:eastAsiaTheme="minorEastAsia"/>
                <w:color w:val="auto"/>
                <w:szCs w:val="21"/>
              </w:rPr>
              <w:t>目标，并按</w:t>
            </w:r>
            <w:r>
              <w:rPr>
                <w:rFonts w:hint="eastAsia" w:cs="宋体" w:asciiTheme="minorEastAsia" w:hAnsiTheme="minorEastAsia" w:eastAsiaTheme="minorEastAsia"/>
                <w:color w:val="auto"/>
                <w:szCs w:val="21"/>
                <w:lang w:val="en-US" w:eastAsia="zh-CN"/>
              </w:rPr>
              <w:t>体系文件</w:t>
            </w:r>
            <w:r>
              <w:rPr>
                <w:rFonts w:hint="eastAsia" w:cs="宋体" w:asciiTheme="minorEastAsia" w:hAnsiTheme="minorEastAsia" w:eastAsiaTheme="minorEastAsia"/>
                <w:color w:val="auto"/>
                <w:szCs w:val="21"/>
              </w:rPr>
              <w:t>规定进行了管理评审，目前该公司的管理体系</w:t>
            </w:r>
            <w:r>
              <w:rPr>
                <w:rFonts w:hint="eastAsia" w:cs="宋体" w:asciiTheme="minorEastAsia" w:hAnsiTheme="minorEastAsia" w:eastAsiaTheme="minorEastAsia"/>
                <w:color w:val="auto"/>
                <w:szCs w:val="21"/>
                <w:lang w:val="en-US" w:eastAsia="zh-CN"/>
              </w:rPr>
              <w:t>职责和权限</w:t>
            </w:r>
            <w:r>
              <w:rPr>
                <w:rFonts w:hint="eastAsia" w:cs="宋体" w:asciiTheme="minorEastAsia" w:hAnsiTheme="minorEastAsia" w:eastAsiaTheme="minorEastAsia"/>
                <w:color w:val="auto"/>
                <w:szCs w:val="21"/>
              </w:rPr>
              <w:t>基本得到了落实。管理层通过制定方针和目标并通过会议、培训等形式要求员工理解企业的方针目标以及传达守法经营及达到顾客满意的质量意识的重要性并形成制度化，强调企业实施管理体系管理的重要性。</w:t>
            </w:r>
            <w:r>
              <w:rPr>
                <w:rFonts w:hint="eastAsia" w:cs="宋体" w:asciiTheme="minorEastAsia" w:hAnsiTheme="minorEastAsia" w:eastAsiaTheme="minorEastAsia"/>
                <w:color w:val="auto"/>
                <w:szCs w:val="21"/>
                <w:lang w:val="en-US" w:eastAsia="zh-CN"/>
              </w:rPr>
              <w:t>董事长确保</w:t>
            </w:r>
            <w:r>
              <w:rPr>
                <w:rFonts w:hint="eastAsia" w:cs="宋体" w:asciiTheme="minorEastAsia" w:hAnsiTheme="minorEastAsia" w:eastAsiaTheme="minorEastAsia"/>
                <w:color w:val="auto"/>
                <w:szCs w:val="21"/>
              </w:rPr>
              <w:t>资源提供充分并通过定期进行管理评审发现过程中存在的问题并加以改进，承诺基本有效。企业通过</w:t>
            </w:r>
            <w:r>
              <w:rPr>
                <w:rFonts w:hint="eastAsia" w:cs="宋体" w:asciiTheme="minorEastAsia" w:hAnsiTheme="minorEastAsia" w:eastAsiaTheme="minorEastAsia"/>
                <w:color w:val="auto"/>
                <w:szCs w:val="21"/>
                <w:lang w:val="en-US" w:eastAsia="zh-CN"/>
              </w:rPr>
              <w:t>采取</w:t>
            </w:r>
            <w:r>
              <w:rPr>
                <w:rFonts w:hint="eastAsia" w:cs="宋体" w:asciiTheme="minorEastAsia" w:hAnsiTheme="minorEastAsia" w:eastAsiaTheme="minorEastAsia"/>
                <w:color w:val="auto"/>
                <w:szCs w:val="21"/>
              </w:rPr>
              <w:t>会议、培训等形式要求员工理解公司的方针和目标，以及遵守法律法规的重要性及顾客满意的重要性，并形成制度化，规定了定期检查落实的情况，并有具体要求。</w:t>
            </w:r>
          </w:p>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承诺基本实现，没有</w:t>
            </w:r>
            <w:r>
              <w:rPr>
                <w:rFonts w:hint="eastAsia" w:cs="宋体" w:asciiTheme="minorEastAsia" w:hAnsiTheme="minorEastAsia" w:eastAsiaTheme="minorEastAsia"/>
                <w:color w:val="auto"/>
                <w:szCs w:val="21"/>
                <w:lang w:val="en-US" w:eastAsia="zh-CN"/>
              </w:rPr>
              <w:t>出现</w:t>
            </w:r>
            <w:r>
              <w:rPr>
                <w:rFonts w:hint="eastAsia" w:cs="宋体" w:asciiTheme="minorEastAsia" w:hAnsiTheme="minorEastAsia" w:eastAsiaTheme="minorEastAsia"/>
                <w:color w:val="auto"/>
                <w:szCs w:val="21"/>
              </w:rPr>
              <w:t>违反</w:t>
            </w:r>
            <w:r>
              <w:rPr>
                <w:rFonts w:hint="eastAsia" w:cs="宋体" w:asciiTheme="minorEastAsia" w:hAnsiTheme="minorEastAsia" w:eastAsiaTheme="minorEastAsia"/>
                <w:color w:val="auto"/>
                <w:szCs w:val="21"/>
                <w:lang w:val="en-US" w:eastAsia="zh-CN"/>
              </w:rPr>
              <w:t>顾客要求及产生环境、安全事故等事件</w:t>
            </w:r>
            <w:r>
              <w:rPr>
                <w:rFonts w:hint="eastAsia" w:cs="宋体" w:asciiTheme="minorEastAsia" w:hAnsiTheme="minorEastAsia" w:eastAsiaTheme="minorEastAsia"/>
                <w:color w:val="auto"/>
                <w:szCs w:val="21"/>
              </w:rPr>
              <w:t>的情况发生。</w:t>
            </w:r>
          </w:p>
        </w:tc>
        <w:tc>
          <w:tcPr>
            <w:tcW w:w="1585" w:type="dxa"/>
            <w:vAlign w:val="center"/>
          </w:tcPr>
          <w:p>
            <w:pPr>
              <w:spacing w:line="320" w:lineRule="exact"/>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方针</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制定方针</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沟通方针</w:t>
            </w:r>
          </w:p>
        </w:tc>
        <w:tc>
          <w:tcPr>
            <w:tcW w:w="1206"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E5.2</w:t>
            </w:r>
          </w:p>
          <w:p>
            <w:pPr>
              <w:snapToGrid w:val="0"/>
              <w:spacing w:line="320" w:lineRule="exact"/>
              <w:rPr>
                <w:rFonts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9891" w:type="dxa"/>
            <w:vAlign w:val="center"/>
          </w:tcPr>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该公司管理方针，</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环境方针：遵纪守法，预防污染；节能降耗，提高绩效；</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公司严格遵守国家和地方有关环境保护的法律、法规、标准和行业规定，并制定规范的环保操作指导文件；对员工加强环保意识的培训，掌握环保知识，预防污染。</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公司在作业、服务、办公等活动过程中，坚持节能降耗，安全、排污；对重要环境因素制定管理方案，落实职责，并持续改善环境，防止污染发生。确保实现环境目标、指标，提高环境绩效。</w:t>
            </w:r>
          </w:p>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管理方针通过文件、培训等形式将公司管理方针传达给所有为公司工作或代表公司的人员，相关方也可通过</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获取公司管理方针。</w:t>
            </w:r>
          </w:p>
        </w:tc>
        <w:tc>
          <w:tcPr>
            <w:tcW w:w="1585" w:type="dxa"/>
            <w:vAlign w:val="center"/>
          </w:tcPr>
          <w:p>
            <w:pPr>
              <w:spacing w:line="320" w:lineRule="exact"/>
              <w:ind w:firstLine="420" w:firstLineChars="200"/>
              <w:rPr>
                <w:rFonts w:hint="default" w:ascii="宋体" w:hAnsi="宋体" w:eastAsiaTheme="minorEastAsia"/>
                <w:b w:val="0"/>
                <w:bCs/>
                <w:sz w:val="21"/>
                <w:szCs w:val="21"/>
                <w:lang w:val="en-US" w:eastAsia="zh-CN"/>
              </w:rPr>
            </w:pPr>
            <w:r>
              <w:rPr>
                <w:rFonts w:hint="eastAsia" w:ascii="宋体" w:hAnsi="宋体" w:eastAsiaTheme="minorEastAsia"/>
                <w:b w:val="0"/>
                <w:bCs/>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组织的岗位、职责和权限</w:t>
            </w:r>
          </w:p>
          <w:p>
            <w:pPr>
              <w:spacing w:line="320" w:lineRule="exact"/>
              <w:rPr>
                <w:rFonts w:cs="宋体" w:asciiTheme="minorEastAsia" w:hAnsiTheme="minorEastAsia" w:eastAsiaTheme="minorEastAsia"/>
                <w:color w:val="auto"/>
                <w:szCs w:val="21"/>
              </w:rPr>
            </w:pPr>
          </w:p>
        </w:tc>
        <w:tc>
          <w:tcPr>
            <w:tcW w:w="1206" w:type="dxa"/>
          </w:tcPr>
          <w:p>
            <w:pPr>
              <w:spacing w:line="320" w:lineRule="exac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E5.3</w:t>
            </w:r>
          </w:p>
          <w:p>
            <w:pPr>
              <w:spacing w:line="320" w:lineRule="exact"/>
              <w:rPr>
                <w:rFonts w:cs="宋体" w:asciiTheme="minorEastAsia" w:hAnsiTheme="minorEastAsia" w:eastAsiaTheme="minorEastAsia"/>
                <w:color w:val="auto"/>
                <w:szCs w:val="21"/>
              </w:rPr>
            </w:pPr>
          </w:p>
        </w:tc>
        <w:tc>
          <w:tcPr>
            <w:tcW w:w="9891" w:type="dxa"/>
            <w:vAlign w:val="center"/>
          </w:tcPr>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确定了部门、各岗位人员职责、权限和相互关系，并在公司内对各级员工进行了必要</w:t>
            </w:r>
            <w:r>
              <w:rPr>
                <w:rFonts w:hint="eastAsia" w:cs="宋体" w:asciiTheme="minorEastAsia" w:hAnsiTheme="minorEastAsia" w:eastAsiaTheme="minorEastAsia"/>
                <w:color w:val="auto"/>
                <w:szCs w:val="21"/>
                <w:lang w:val="en-US" w:eastAsia="zh-CN"/>
              </w:rPr>
              <w:t>培训及</w:t>
            </w:r>
            <w:r>
              <w:rPr>
                <w:rFonts w:hint="eastAsia" w:cs="宋体" w:asciiTheme="minorEastAsia" w:hAnsiTheme="minorEastAsia" w:eastAsiaTheme="minorEastAsia"/>
                <w:color w:val="auto"/>
                <w:szCs w:val="21"/>
              </w:rPr>
              <w:t>传达。对从事与产品</w:t>
            </w:r>
            <w:r>
              <w:rPr>
                <w:rFonts w:hint="eastAsia" w:cs="宋体" w:asciiTheme="minorEastAsia" w:hAnsiTheme="minorEastAsia" w:eastAsiaTheme="minorEastAsia"/>
                <w:color w:val="auto"/>
                <w:szCs w:val="21"/>
                <w:lang w:val="en-US" w:eastAsia="zh-CN"/>
              </w:rPr>
              <w:t>生产、</w:t>
            </w:r>
            <w:r>
              <w:rPr>
                <w:rFonts w:hint="eastAsia" w:cs="宋体" w:asciiTheme="minorEastAsia" w:hAnsiTheme="minorEastAsia" w:eastAsiaTheme="minorEastAsia"/>
                <w:color w:val="auto"/>
                <w:szCs w:val="21"/>
              </w:rPr>
              <w:t>销售有关的管理、执行和验证人员规定其职责、权限及其相互关系，以实现公司管理方针和管理目标。建立、实施和保持公司管理体系所需的过程，公司</w:t>
            </w:r>
            <w:r>
              <w:rPr>
                <w:rFonts w:hint="eastAsia" w:cs="宋体" w:asciiTheme="minorEastAsia" w:hAnsiTheme="minorEastAsia" w:eastAsiaTheme="minorEastAsia"/>
                <w:color w:val="auto"/>
                <w:szCs w:val="21"/>
                <w:lang w:val="en-US" w:eastAsia="zh-CN"/>
              </w:rPr>
              <w:t>总经理</w:t>
            </w:r>
            <w:r>
              <w:rPr>
                <w:rFonts w:hint="eastAsia" w:cs="宋体" w:asciiTheme="minorEastAsia" w:hAnsiTheme="minorEastAsia" w:eastAsiaTheme="minorEastAsia"/>
                <w:color w:val="auto"/>
                <w:szCs w:val="21"/>
              </w:rPr>
              <w:t>任命</w:t>
            </w:r>
            <w:r>
              <w:rPr>
                <w:rFonts w:hint="eastAsia" w:cs="宋体" w:asciiTheme="minorEastAsia" w:hAnsiTheme="minorEastAsia" w:eastAsiaTheme="minorEastAsia"/>
                <w:color w:val="auto"/>
                <w:szCs w:val="21"/>
                <w:lang w:val="en-US" w:eastAsia="zh-CN"/>
              </w:rPr>
              <w:t>副总经理宋文君兼</w:t>
            </w:r>
            <w:r>
              <w:rPr>
                <w:rFonts w:hint="eastAsia" w:cs="宋体" w:asciiTheme="minorEastAsia" w:hAnsiTheme="minorEastAsia" w:eastAsiaTheme="minorEastAsia"/>
                <w:color w:val="auto"/>
                <w:szCs w:val="21"/>
              </w:rPr>
              <w:t>管理体系的管理者代表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职责和权限规定如下：</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1.确保按照GB/T19001-2016《质量管理体系 要求》、GB/T24001-2016环境管理体系和ISO45001-2018职业健康安全管理体系标准要求建立、实施和保持质量、环境和职业健康安全管理体系。</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2.向最高管理者汇报质量、环境和职业健康安全管理体系的运行情况以供评审，并为质量、环境和职业健康安全管理体系的改进提供依据。</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3.负责质量、环境和职业健康安全管理体系有关事宜的外部联系。</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4.负责向公司员工宣传质量、环境和职业健康安全管理和法律法规及其它要求。</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5.行使和履行公司总经理规定的其他质量、环境和职业健康安全管理职责和权限。</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安全事务代表丁其锋</w:t>
            </w:r>
            <w:r>
              <w:rPr>
                <w:rFonts w:hint="eastAsia" w:cs="宋体" w:asciiTheme="minorEastAsia" w:hAnsiTheme="minorEastAsia" w:eastAsiaTheme="minorEastAsia"/>
                <w:color w:val="auto"/>
                <w:szCs w:val="21"/>
              </w:rPr>
              <w:t>职责和权限规定如下：</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1.宣传公司有关职业健康安全方针、政策、法规，并监督执行； </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2.参与职业健康安全有关管理工作，及时报告员工意见和建议，并跟踪落实情况；</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3.参与开展遵纪守法、事故预防等群众性活动；</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4.参与公司劳动保护和安全生产规章制度的制定、实施和修订；</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5.关心员工生活和职业健康安全的保障和改善，参与或协助安全事故的调查、分析及处理工作，督促责任部门纠正和预防措施的实施。</w:t>
            </w:r>
          </w:p>
          <w:p>
            <w:pPr>
              <w:spacing w:line="320" w:lineRule="exact"/>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询问管代</w:t>
            </w:r>
            <w:r>
              <w:rPr>
                <w:rFonts w:hint="eastAsia" w:cs="宋体" w:asciiTheme="minorEastAsia" w:hAnsiTheme="minorEastAsia" w:eastAsiaTheme="minorEastAsia"/>
                <w:color w:val="auto"/>
                <w:szCs w:val="21"/>
                <w:lang w:val="en-US" w:eastAsia="zh-CN"/>
              </w:rPr>
              <w:t>宋文君</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对其承担的</w:t>
            </w:r>
            <w:r>
              <w:rPr>
                <w:rFonts w:hint="eastAsia" w:cs="宋体" w:asciiTheme="minorEastAsia" w:hAnsiTheme="minorEastAsia" w:eastAsiaTheme="minorEastAsia"/>
                <w:color w:val="auto"/>
                <w:szCs w:val="21"/>
              </w:rPr>
              <w:t>职责回答基本</w:t>
            </w:r>
            <w:r>
              <w:rPr>
                <w:rFonts w:hint="eastAsia" w:cs="宋体" w:asciiTheme="minorEastAsia" w:hAnsiTheme="minorEastAsia" w:eastAsiaTheme="minorEastAsia"/>
                <w:color w:val="auto"/>
                <w:szCs w:val="21"/>
                <w:lang w:val="en-US" w:eastAsia="zh-CN"/>
              </w:rPr>
              <w:t>清楚</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及介绍在体系运行中的一些包括文件编制、体系策划、内审、环境因素、危险源识别/控制所承担的工作。</w:t>
            </w:r>
          </w:p>
        </w:tc>
        <w:tc>
          <w:tcPr>
            <w:tcW w:w="1585" w:type="dxa"/>
            <w:vAlign w:val="center"/>
          </w:tcPr>
          <w:p>
            <w:pPr>
              <w:spacing w:line="320" w:lineRule="exact"/>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w:t>
            </w:r>
          </w:p>
          <w:p>
            <w:pPr>
              <w:spacing w:line="320" w:lineRule="exact"/>
              <w:rPr>
                <w:rFonts w:cs="宋体" w:asciiTheme="minorEastAsia" w:hAnsiTheme="minorEastAsia" w:eastAsiaTheme="minorEastAsia"/>
                <w:color w:val="auto"/>
                <w:szCs w:val="21"/>
              </w:rPr>
            </w:pPr>
          </w:p>
        </w:tc>
        <w:tc>
          <w:tcPr>
            <w:tcW w:w="1206"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E6.1</w:t>
            </w:r>
          </w:p>
          <w:p>
            <w:pPr>
              <w:spacing w:line="320" w:lineRule="exact"/>
              <w:rPr>
                <w:rFonts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tc>
        <w:tc>
          <w:tcPr>
            <w:tcW w:w="9891" w:type="dxa"/>
            <w:vAlign w:val="center"/>
          </w:tcPr>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公司</w:t>
            </w:r>
            <w:r>
              <w:rPr>
                <w:rFonts w:hint="eastAsia" w:cs="宋体" w:asciiTheme="minorEastAsia" w:hAnsiTheme="minorEastAsia" w:eastAsiaTheme="minorEastAsia"/>
                <w:color w:val="auto"/>
                <w:szCs w:val="21"/>
              </w:rPr>
              <w:t>制定</w:t>
            </w:r>
            <w:r>
              <w:rPr>
                <w:rFonts w:hint="eastAsia" w:cs="宋体" w:asciiTheme="minorEastAsia" w:hAnsiTheme="minorEastAsia" w:eastAsiaTheme="minorEastAsia"/>
                <w:color w:val="auto"/>
                <w:szCs w:val="21"/>
                <w:lang w:eastAsia="zh-CN"/>
              </w:rPr>
              <w:t>了</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风险和机遇控制程序》</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外部因素主要有：</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1)违反法律、法规或其它要求的；</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2)相关方的合理投诉或高度关注的；</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3)影响的范围涉及以其它城市和对人身健康有明显影响的；</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4)资源、能源较大消耗；</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5)产生重大影响的判定为主要风险和机遇。</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2.内部因素包括：</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1)活动、产品和服务的变化；</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2)新、改、扩建及新材料、新工艺、新设备的投入；</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3)法律、法规及其它要求的变化；</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4)相关方提出的合理要求。</w:t>
            </w:r>
          </w:p>
          <w:p>
            <w:pPr>
              <w:spacing w:line="320" w:lineRule="exact"/>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提供“风险与机遇</w:t>
            </w:r>
            <w:r>
              <w:rPr>
                <w:rFonts w:hint="eastAsia" w:cs="宋体" w:asciiTheme="minorEastAsia" w:hAnsiTheme="minorEastAsia" w:eastAsiaTheme="minorEastAsia"/>
                <w:color w:val="auto"/>
                <w:szCs w:val="21"/>
                <w:lang w:val="en-US" w:eastAsia="zh-CN"/>
              </w:rPr>
              <w:t>评估分析</w:t>
            </w:r>
            <w:r>
              <w:rPr>
                <w:rFonts w:hint="eastAsia" w:cs="宋体" w:asciiTheme="minorEastAsia" w:hAnsiTheme="minorEastAsia" w:eastAsiaTheme="minorEastAsia"/>
                <w:color w:val="auto"/>
                <w:szCs w:val="21"/>
              </w:rPr>
              <w:t>表”，</w:t>
            </w:r>
            <w:r>
              <w:rPr>
                <w:rFonts w:hint="eastAsia" w:cs="宋体" w:asciiTheme="minorEastAsia" w:hAnsiTheme="minorEastAsia" w:eastAsiaTheme="minorEastAsia"/>
                <w:color w:val="auto"/>
                <w:szCs w:val="21"/>
                <w:lang w:val="en-US" w:eastAsia="zh-CN"/>
              </w:rPr>
              <w:t xml:space="preserve"> </w:t>
            </w:r>
          </w:p>
          <w:p>
            <w:pPr>
              <w:spacing w:line="320" w:lineRule="exact"/>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内部风险和机遇有：适用环境法律法规的识别、收集及宣传不够，相对应公司内部活动及环境因素不够明确，部分员工守法意识淡薄、公司环保设施较为齐全，但管理制度尚不够健全、人员素质参差不齐，环保意识不强，对岗位环境因素认识不足，控制方法不明确等。</w:t>
            </w:r>
          </w:p>
          <w:p>
            <w:pPr>
              <w:spacing w:line="320" w:lineRule="exact"/>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采取措施是：</w:t>
            </w:r>
            <w:r>
              <w:rPr>
                <w:rFonts w:hint="eastAsia" w:cs="宋体" w:asciiTheme="minorEastAsia" w:hAnsiTheme="minorEastAsia" w:eastAsiaTheme="minorEastAsia"/>
                <w:color w:val="auto"/>
                <w:szCs w:val="21"/>
                <w:lang w:val="en-US" w:eastAsia="zh-CN"/>
              </w:rPr>
              <w:t xml:space="preserve"> 加强识别、收集，定期更新，重要条款予以培训或纳入制度中、建立健全环保制度，严格落实执行、制定相应程序文件，组织员工参与岗位环境因素的识别，岗位重要因素的培训。</w:t>
            </w:r>
          </w:p>
          <w:p>
            <w:pPr>
              <w:spacing w:line="320" w:lineRule="exact"/>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外部风险和机遇有：政府对企业的环保要求及检查力度比较高、违反《中华人民共和国劳动法》导致经济处罚。</w:t>
            </w:r>
          </w:p>
          <w:p>
            <w:pPr>
              <w:spacing w:line="320" w:lineRule="exact"/>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采取措施是：建立健全环保制度，严格落实执行</w:t>
            </w:r>
            <w:r>
              <w:rPr>
                <w:rFonts w:hint="eastAsia" w:cs="宋体" w:asciiTheme="minorEastAsia" w:hAnsiTheme="minorEastAsia" w:eastAsiaTheme="minorEastAsia"/>
                <w:color w:val="auto"/>
                <w:szCs w:val="21"/>
                <w:lang w:eastAsia="zh-CN"/>
              </w:rPr>
              <w:t>、建立健全用工合同制度。</w:t>
            </w:r>
          </w:p>
          <w:p>
            <w:pPr>
              <w:spacing w:line="3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风险机遇识别基本充分，应对风险和机遇的措施基本适宜。</w:t>
            </w:r>
          </w:p>
        </w:tc>
        <w:tc>
          <w:tcPr>
            <w:tcW w:w="1585" w:type="dxa"/>
            <w:vAlign w:val="center"/>
          </w:tcPr>
          <w:p>
            <w:pPr>
              <w:spacing w:line="32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7" w:type="dxa"/>
          </w:tcPr>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措施的策划</w:t>
            </w:r>
          </w:p>
          <w:p>
            <w:pPr>
              <w:spacing w:line="320" w:lineRule="exact"/>
              <w:rPr>
                <w:rFonts w:cs="宋体" w:asciiTheme="minorEastAsia" w:hAnsiTheme="minorEastAsia" w:eastAsiaTheme="minorEastAsia"/>
                <w:color w:val="auto"/>
                <w:szCs w:val="21"/>
              </w:rPr>
            </w:pPr>
          </w:p>
        </w:tc>
        <w:tc>
          <w:tcPr>
            <w:tcW w:w="1206"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E6.1.4</w:t>
            </w:r>
          </w:p>
          <w:p>
            <w:pPr>
              <w:spacing w:line="320" w:lineRule="exact"/>
              <w:rPr>
                <w:rFonts w:asciiTheme="minorEastAsia" w:hAnsiTheme="minorEastAsia" w:eastAsiaTheme="minorEastAsia"/>
                <w:color w:val="auto"/>
                <w:szCs w:val="21"/>
              </w:rPr>
            </w:pPr>
          </w:p>
        </w:tc>
        <w:tc>
          <w:tcPr>
            <w:tcW w:w="9891"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在策划</w:t>
            </w:r>
            <w:r>
              <w:rPr>
                <w:rFonts w:hint="eastAsia" w:cs="宋体" w:asciiTheme="minorEastAsia" w:hAnsiTheme="minorEastAsia" w:eastAsiaTheme="minorEastAsia"/>
                <w:color w:val="auto"/>
                <w:szCs w:val="21"/>
              </w:rPr>
              <w:t>应对风险和机遇</w:t>
            </w:r>
            <w:r>
              <w:rPr>
                <w:rFonts w:hint="eastAsia" w:cs="宋体" w:asciiTheme="minorEastAsia" w:hAnsiTheme="minorEastAsia" w:eastAsiaTheme="minorEastAsia"/>
                <w:color w:val="auto"/>
                <w:kern w:val="0"/>
                <w:szCs w:val="21"/>
              </w:rPr>
              <w:t>的措施时，</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综合考虑了企业所处的环境、重要环境因素、合规义务，以及面对的风险和机遇，制定了环境、职业健康安全目标及管理方案，</w:t>
            </w:r>
            <w:r>
              <w:rPr>
                <w:rFonts w:hint="eastAsia" w:cs="宋体" w:asciiTheme="minorEastAsia" w:hAnsiTheme="minorEastAsia" w:eastAsiaTheme="minorEastAsia"/>
                <w:color w:val="auto"/>
                <w:szCs w:val="21"/>
                <w:lang w:val="en-US" w:eastAsia="zh-CN"/>
              </w:rPr>
              <w:t>董事长蒋丽娇</w:t>
            </w:r>
            <w:r>
              <w:rPr>
                <w:rFonts w:hint="eastAsia" w:cs="宋体" w:asciiTheme="minorEastAsia" w:hAnsiTheme="minorEastAsia" w:eastAsiaTheme="minorEastAsia"/>
                <w:color w:val="auto"/>
                <w:szCs w:val="21"/>
              </w:rPr>
              <w:t>负责批准。环境、职业健康安全管理方案中明确为实现环境、职业健康安全目标和指标的责任部门；规定实现环境、职业健康安全目标和指标的时间；具体措施和经费预算；均由</w:t>
            </w:r>
            <w:r>
              <w:rPr>
                <w:rFonts w:hint="eastAsia" w:cs="宋体" w:asciiTheme="minorEastAsia" w:hAnsiTheme="minorEastAsia" w:eastAsiaTheme="minorEastAsia"/>
                <w:color w:val="auto"/>
                <w:szCs w:val="21"/>
                <w:lang w:val="en-US" w:eastAsia="zh-CN"/>
              </w:rPr>
              <w:t>董事长</w:t>
            </w:r>
            <w:r>
              <w:rPr>
                <w:rFonts w:hint="eastAsia" w:cs="宋体" w:asciiTheme="minorEastAsia" w:hAnsiTheme="minorEastAsia" w:eastAsiaTheme="minorEastAsia"/>
                <w:color w:val="auto"/>
                <w:szCs w:val="21"/>
              </w:rPr>
              <w:t>批准。环境、职业健康安全管理方案的实施，体系建立以来</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对方案实施情况进行检查跟踪，向</w:t>
            </w:r>
            <w:r>
              <w:rPr>
                <w:rFonts w:hint="eastAsia" w:cs="宋体" w:asciiTheme="minorEastAsia" w:hAnsiTheme="minorEastAsia" w:eastAsiaTheme="minorEastAsia"/>
                <w:color w:val="auto"/>
                <w:szCs w:val="21"/>
                <w:lang w:val="en-US" w:eastAsia="zh-CN"/>
              </w:rPr>
              <w:t>董事长</w:t>
            </w:r>
            <w:r>
              <w:rPr>
                <w:rFonts w:hint="eastAsia" w:cs="宋体" w:asciiTheme="minorEastAsia" w:hAnsiTheme="minorEastAsia" w:eastAsiaTheme="minorEastAsia"/>
                <w:color w:val="auto"/>
                <w:szCs w:val="21"/>
              </w:rPr>
              <w:t>报告；在管理评审之前对环境、职业健康安全目标及管理方案由</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对其进行评审，并将完成情况以书面形式呈报管理者代表，以便提交管理评审。</w:t>
            </w:r>
          </w:p>
        </w:tc>
        <w:tc>
          <w:tcPr>
            <w:tcW w:w="1585" w:type="dxa"/>
            <w:vAlign w:val="center"/>
          </w:tcPr>
          <w:p>
            <w:pPr>
              <w:spacing w:line="320" w:lineRule="exact"/>
              <w:ind w:firstLine="420" w:firstLineChars="200"/>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管理目标及其实现的策划</w:t>
            </w:r>
          </w:p>
          <w:p>
            <w:pPr>
              <w:spacing w:line="320" w:lineRule="exact"/>
              <w:rPr>
                <w:rFonts w:cs="宋体" w:asciiTheme="minorEastAsia" w:hAnsiTheme="minorEastAsia" w:eastAsiaTheme="minorEastAsia"/>
                <w:color w:val="auto"/>
                <w:szCs w:val="21"/>
              </w:rPr>
            </w:pPr>
          </w:p>
        </w:tc>
        <w:tc>
          <w:tcPr>
            <w:tcW w:w="1206"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EO6.2</w:t>
            </w: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9891" w:type="dxa"/>
            <w:vAlign w:val="center"/>
          </w:tcPr>
          <w:p>
            <w:pPr>
              <w:spacing w:line="320" w:lineRule="exact"/>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公司对管理体系所需的相关职能、层次和过程设定管理目标。</w:t>
            </w:r>
          </w:p>
          <w:p>
            <w:pPr>
              <w:spacing w:line="320" w:lineRule="exact"/>
              <w:ind w:firstLine="420" w:firstLineChars="200"/>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公司</w:t>
            </w:r>
            <w:r>
              <w:rPr>
                <w:rFonts w:hint="eastAsia" w:cs="宋体" w:asciiTheme="minorEastAsia" w:hAnsiTheme="minorEastAsia" w:eastAsiaTheme="minorEastAsia"/>
                <w:color w:val="auto"/>
                <w:kern w:val="0"/>
                <w:szCs w:val="21"/>
                <w:lang w:val="en-US" w:eastAsia="zh-CN"/>
              </w:rPr>
              <w:t>2022年</w:t>
            </w:r>
            <w:r>
              <w:rPr>
                <w:rFonts w:hint="eastAsia" w:cs="宋体" w:asciiTheme="minorEastAsia" w:hAnsiTheme="minorEastAsia" w:eastAsiaTheme="minorEastAsia"/>
                <w:color w:val="auto"/>
                <w:kern w:val="0"/>
                <w:szCs w:val="21"/>
              </w:rPr>
              <w:t>管理目标</w:t>
            </w:r>
            <w:r>
              <w:rPr>
                <w:rFonts w:hint="eastAsia" w:cs="宋体" w:asciiTheme="minorEastAsia" w:hAnsiTheme="minorEastAsia" w:eastAsiaTheme="minorEastAsia"/>
                <w:color w:val="auto"/>
                <w:kern w:val="0"/>
                <w:szCs w:val="21"/>
                <w:lang w:val="en-US" w:eastAsia="zh-CN"/>
              </w:rPr>
              <w:t xml:space="preserve">及完成情况统计 </w:t>
            </w:r>
          </w:p>
          <w:p>
            <w:pPr>
              <w:autoSpaceDE w:val="0"/>
              <w:autoSpaceDN w:val="0"/>
              <w:adjustRightInd w:val="0"/>
              <w:jc w:val="left"/>
              <w:rPr>
                <w:rFonts w:hint="eastAsia" w:hAnsi="宋体" w:eastAsia="宋体" w:cs="宋体"/>
                <w:b w:val="0"/>
                <w:bCs w:val="0"/>
                <w:color w:val="auto"/>
                <w:kern w:val="0"/>
                <w:lang w:val="en-US" w:eastAsia="zh-CN"/>
              </w:rPr>
            </w:pPr>
            <w:r>
              <w:rPr>
                <w:rFonts w:hint="eastAsia" w:hAnsi="宋体" w:cs="宋体"/>
                <w:b w:val="0"/>
                <w:bCs w:val="0"/>
                <w:color w:val="auto"/>
                <w:kern w:val="0"/>
                <w:lang w:val="en-US" w:eastAsia="zh-CN"/>
              </w:rPr>
              <w:drawing>
                <wp:inline distT="0" distB="0" distL="114300" distR="114300">
                  <wp:extent cx="4407535" cy="1774825"/>
                  <wp:effectExtent l="0" t="0" r="12065" b="8255"/>
                  <wp:docPr id="1" name="图片 1" descr="1649297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9297486(1)"/>
                          <pic:cNvPicPr>
                            <a:picLocks noChangeAspect="1"/>
                          </pic:cNvPicPr>
                        </pic:nvPicPr>
                        <pic:blipFill>
                          <a:blip r:embed="rId6"/>
                          <a:stretch>
                            <a:fillRect/>
                          </a:stretch>
                        </pic:blipFill>
                        <pic:spPr>
                          <a:xfrm>
                            <a:off x="0" y="0"/>
                            <a:ext cx="4407535" cy="1774825"/>
                          </a:xfrm>
                          <a:prstGeom prst="rect">
                            <a:avLst/>
                          </a:prstGeom>
                        </pic:spPr>
                      </pic:pic>
                    </a:graphicData>
                  </a:graphic>
                </wp:inline>
              </w:drawing>
            </w:r>
            <w:r>
              <w:rPr>
                <w:rFonts w:hint="eastAsia" w:hAnsi="宋体" w:cs="宋体"/>
                <w:b w:val="0"/>
                <w:bCs w:val="0"/>
                <w:color w:val="auto"/>
                <w:kern w:val="0"/>
                <w:lang w:val="en-US" w:eastAsia="zh-CN"/>
              </w:rPr>
              <w:t xml:space="preserve">  </w:t>
            </w:r>
          </w:p>
          <w:p>
            <w:pPr>
              <w:spacing w:line="320" w:lineRule="exact"/>
              <w:rPr>
                <w:rFonts w:hint="default" w:cs="宋体" w:asciiTheme="minorEastAsia" w:hAnsiTheme="minorEastAsia" w:eastAsiaTheme="minorEastAsia"/>
                <w:color w:val="auto"/>
                <w:kern w:val="0"/>
                <w:szCs w:val="21"/>
                <w:lang w:val="en-US"/>
              </w:rPr>
            </w:pPr>
            <w:r>
              <w:rPr>
                <w:rFonts w:hint="eastAsia" w:cs="宋体" w:asciiTheme="minorEastAsia" w:hAnsiTheme="minorEastAsia" w:eastAsiaTheme="minorEastAsia"/>
                <w:b w:val="0"/>
                <w:bCs w:val="0"/>
                <w:color w:val="auto"/>
                <w:kern w:val="0"/>
                <w:szCs w:val="21"/>
              </w:rPr>
              <w:t>目标可测量，与公司管理方针一致。</w:t>
            </w:r>
            <w:r>
              <w:rPr>
                <w:rFonts w:hint="eastAsia" w:eastAsiaTheme="minorEastAsia"/>
                <w:b w:val="0"/>
                <w:bCs w:val="0"/>
                <w:color w:val="auto"/>
                <w:szCs w:val="21"/>
                <w:lang w:val="en-US" w:eastAsia="zh-CN"/>
              </w:rPr>
              <w:t>2022.3.30公司目标均已完成。</w:t>
            </w:r>
          </w:p>
          <w:p>
            <w:pPr>
              <w:spacing w:line="320" w:lineRule="exact"/>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针对重要环境因素、不可接受风险制订了管理方案并予以实施，基本有效</w:t>
            </w:r>
            <w:r>
              <w:rPr>
                <w:rFonts w:hint="eastAsia" w:cs="宋体" w:asciiTheme="minorEastAsia" w:hAnsiTheme="minorEastAsia" w:eastAsiaTheme="minorEastAsia"/>
                <w:color w:val="auto"/>
                <w:kern w:val="0"/>
                <w:szCs w:val="21"/>
                <w:lang w:val="en-US" w:eastAsia="zh-CN"/>
              </w:rPr>
              <w:t xml:space="preserve"> </w:t>
            </w:r>
            <w:r>
              <w:rPr>
                <w:rFonts w:hint="eastAsia" w:cs="宋体" w:asciiTheme="minorEastAsia" w:hAnsiTheme="minorEastAsia" w:eastAsiaTheme="minorEastAsia"/>
                <w:color w:val="auto"/>
                <w:kern w:val="0"/>
                <w:szCs w:val="21"/>
              </w:rPr>
              <w:t>。</w:t>
            </w:r>
          </w:p>
        </w:tc>
        <w:tc>
          <w:tcPr>
            <w:tcW w:w="1585" w:type="dxa"/>
            <w:vAlign w:val="center"/>
          </w:tcPr>
          <w:p>
            <w:pPr>
              <w:spacing w:line="320" w:lineRule="exact"/>
              <w:ind w:firstLine="420" w:firstLineChars="200"/>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p>
            <w:pPr>
              <w:spacing w:line="320" w:lineRule="exact"/>
              <w:rPr>
                <w:rFonts w:cs="宋体" w:asciiTheme="minorEastAsia" w:hAnsiTheme="minorEastAsia" w:eastAsiaTheme="minorEastAsia"/>
                <w:color w:val="auto"/>
                <w:szCs w:val="21"/>
              </w:rPr>
            </w:pPr>
          </w:p>
        </w:tc>
        <w:tc>
          <w:tcPr>
            <w:tcW w:w="1206"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E9.3</w:t>
            </w: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9891"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公司制定了《管理评审控制程序》，2020.12.15实施</w:t>
            </w:r>
            <w:r>
              <w:rPr>
                <w:rFonts w:hint="eastAsia" w:cs="宋体" w:asciiTheme="minorEastAsia" w:hAnsiTheme="minorEastAsia" w:eastAsiaTheme="minorEastAsia"/>
                <w:color w:val="auto"/>
                <w:szCs w:val="21"/>
              </w:rPr>
              <w:t>：</w:t>
            </w:r>
          </w:p>
          <w:p>
            <w:pPr>
              <w:spacing w:line="360" w:lineRule="auto"/>
              <w:jc w:val="both"/>
              <w:outlineLvl w:val="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2022.2.24制定</w:t>
            </w:r>
            <w:r>
              <w:rPr>
                <w:rFonts w:hint="eastAsia" w:cs="宋体" w:asciiTheme="minorEastAsia" w:hAnsiTheme="minorEastAsia" w:eastAsiaTheme="minorEastAsia"/>
                <w:color w:val="auto"/>
                <w:szCs w:val="21"/>
              </w:rPr>
              <w:t>管理评审计划</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于2022.2.26按</w:t>
            </w:r>
            <w:r>
              <w:rPr>
                <w:rFonts w:hint="eastAsia" w:cs="宋体" w:asciiTheme="minorEastAsia" w:hAnsiTheme="minorEastAsia" w:eastAsiaTheme="minorEastAsia"/>
                <w:color w:val="auto"/>
                <w:szCs w:val="21"/>
              </w:rPr>
              <w:t>计划的时间实施了管理评审。</w:t>
            </w:r>
          </w:p>
          <w:p>
            <w:pPr>
              <w:spacing w:line="360" w:lineRule="auto"/>
              <w:jc w:val="both"/>
              <w:outlineLvl w:val="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管理评审输</w:t>
            </w:r>
            <w:r>
              <w:rPr>
                <w:rFonts w:hint="eastAsia" w:cs="宋体" w:asciiTheme="minorEastAsia" w:hAnsiTheme="minorEastAsia" w:eastAsiaTheme="minorEastAsia"/>
                <w:color w:val="auto"/>
                <w:szCs w:val="21"/>
                <w:lang w:val="en-US" w:eastAsia="zh-CN"/>
              </w:rPr>
              <w:t>入：质量环境安全管理体系运行的工作报告、各部门工作报告、</w:t>
            </w:r>
            <w:r>
              <w:rPr>
                <w:rFonts w:hint="eastAsia" w:cs="宋体" w:asciiTheme="minorEastAsia" w:hAnsiTheme="minorEastAsia" w:eastAsiaTheme="minorEastAsia"/>
                <w:color w:val="auto"/>
                <w:szCs w:val="21"/>
              </w:rPr>
              <w:t>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60" w:lineRule="auto"/>
              <w:jc w:val="both"/>
              <w:outlineLvl w:val="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结论：综上所述本公司的质量环境安全方针、目标基本上符合产品的要求、顾客的要求和持续改进的要求，各部门均制定了质量环境安全分目标并认真实施，从而确保本公司质量环境安全方针、目标的实现、质量环境安全手册符合所依据的标准的要求、相关法律法规要求和本公司的实际情况，是适宜的。质量环境安全管理体系文件在各部门基本得到有效实施，</w:t>
            </w:r>
            <w:r>
              <w:rPr>
                <w:rFonts w:hint="eastAsia" w:cs="宋体" w:asciiTheme="minorEastAsia" w:hAnsiTheme="minorEastAsia" w:eastAsiaTheme="minorEastAsia"/>
                <w:color w:val="auto"/>
                <w:szCs w:val="21"/>
                <w:lang w:val="en-US" w:eastAsia="zh-CN"/>
              </w:rPr>
              <w:t>经营过程中</w:t>
            </w:r>
            <w:r>
              <w:rPr>
                <w:rFonts w:hint="eastAsia" w:cs="宋体" w:asciiTheme="minorEastAsia" w:hAnsiTheme="minorEastAsia" w:eastAsiaTheme="minorEastAsia"/>
                <w:color w:val="auto"/>
                <w:szCs w:val="21"/>
              </w:rPr>
              <w:t>质量环境安全受控，内审中查出的不合格项及时地举一反三地进行了整改，质量环境安全管理体系运行中无重大损失。因而，我公司质量环境安全管理体系的运行是适宜的、充分有效地。</w:t>
            </w:r>
          </w:p>
          <w:p>
            <w:pPr>
              <w:pStyle w:val="5"/>
              <w:bidi w:val="0"/>
              <w:ind w:left="0" w:leftChars="0" w:firstLine="0" w:firstLineChars="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改进计划：</w:t>
            </w:r>
            <w:r>
              <w:rPr>
                <w:rFonts w:hint="eastAsia"/>
                <w:lang w:val="en-US" w:eastAsia="zh-CN"/>
              </w:rPr>
              <w:t>由于体系运行时间较短，各部门人员对质量、环境和职业健康标准条款掌握的不够，建议安排三体系标准条款的深度培训，由综合部负责。有2022.3.3内审员培训记录。</w:t>
            </w:r>
            <w:r>
              <w:rPr>
                <w:rFonts w:hint="eastAsia" w:cs="宋体" w:asciiTheme="minorEastAsia" w:hAnsiTheme="minorEastAsia" w:eastAsiaTheme="minorEastAsia"/>
                <w:color w:val="auto"/>
                <w:szCs w:val="21"/>
                <w:lang w:val="en-US" w:eastAsia="zh-CN"/>
              </w:rPr>
              <w:t>公司董事长</w:t>
            </w:r>
            <w:r>
              <w:rPr>
                <w:rFonts w:hint="eastAsia" w:cs="宋体" w:asciiTheme="minorEastAsia" w:hAnsiTheme="minorEastAsia" w:eastAsiaTheme="minorEastAsia"/>
                <w:color w:val="auto"/>
                <w:szCs w:val="21"/>
              </w:rPr>
              <w:t>及管代表示公司要进一步加强对标准学习，更加要重视和改善管理评审的质量。严格执行相关制度，加大责任处罚的力度，确保环境、安全得到保障，以进一步完善体素要求，提高体系运行能力等，在今后工作中不断改进管理体系及绩效。</w:t>
            </w:r>
          </w:p>
          <w:p>
            <w:pPr>
              <w:pStyle w:val="5"/>
              <w:bidi w:val="0"/>
              <w:ind w:left="0" w:leftChars="0"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drawing>
                <wp:inline distT="0" distB="0" distL="114300" distR="114300">
                  <wp:extent cx="620395" cy="1102995"/>
                  <wp:effectExtent l="0" t="0" r="4445" b="9525"/>
                  <wp:docPr id="3" name="图片 3" descr="4365919ae7502e57d7b18d4f349c1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65919ae7502e57d7b18d4f349c1ac"/>
                          <pic:cNvPicPr>
                            <a:picLocks noChangeAspect="1"/>
                          </pic:cNvPicPr>
                        </pic:nvPicPr>
                        <pic:blipFill>
                          <a:blip r:embed="rId7"/>
                          <a:stretch>
                            <a:fillRect/>
                          </a:stretch>
                        </pic:blipFill>
                        <pic:spPr>
                          <a:xfrm>
                            <a:off x="0" y="0"/>
                            <a:ext cx="620395" cy="1102995"/>
                          </a:xfrm>
                          <a:prstGeom prst="rect">
                            <a:avLst/>
                          </a:prstGeom>
                        </pic:spPr>
                      </pic:pic>
                    </a:graphicData>
                  </a:graphic>
                </wp:inline>
              </w:drawing>
            </w:r>
            <w:bookmarkStart w:id="3" w:name="_GoBack"/>
            <w:bookmarkEnd w:id="3"/>
          </w:p>
        </w:tc>
        <w:tc>
          <w:tcPr>
            <w:tcW w:w="1585" w:type="dxa"/>
            <w:vAlign w:val="center"/>
          </w:tcPr>
          <w:p>
            <w:pPr>
              <w:pStyle w:val="5"/>
              <w:bidi w:val="0"/>
              <w:ind w:left="0" w:leftChars="0" w:firstLine="0" w:firstLineChars="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p>
            <w:pPr>
              <w:spacing w:line="320" w:lineRule="exact"/>
              <w:rPr>
                <w:rFonts w:cs="宋体" w:asciiTheme="minorEastAsia" w:hAnsiTheme="minorEastAsia" w:eastAsiaTheme="minorEastAsia"/>
                <w:color w:val="auto"/>
                <w:szCs w:val="21"/>
              </w:rPr>
            </w:pPr>
          </w:p>
        </w:tc>
        <w:tc>
          <w:tcPr>
            <w:tcW w:w="1206"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10.1</w:t>
            </w:r>
          </w:p>
          <w:p>
            <w:pPr>
              <w:spacing w:line="320" w:lineRule="exact"/>
              <w:rPr>
                <w:rFonts w:asciiTheme="minorEastAsia" w:hAnsiTheme="minorEastAsia" w:eastAsiaTheme="minorEastAsia"/>
                <w:color w:val="auto"/>
                <w:szCs w:val="21"/>
              </w:rPr>
            </w:pPr>
          </w:p>
        </w:tc>
        <w:tc>
          <w:tcPr>
            <w:tcW w:w="9891" w:type="dxa"/>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pPr>
              <w:spacing w:line="320" w:lineRule="exact"/>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1206"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10.3</w:t>
            </w:r>
          </w:p>
          <w:p>
            <w:pPr>
              <w:spacing w:line="320" w:lineRule="exact"/>
              <w:rPr>
                <w:rFonts w:asciiTheme="minorEastAsia" w:hAnsiTheme="minorEastAsia" w:eastAsiaTheme="minorEastAsia"/>
                <w:color w:val="auto"/>
                <w:szCs w:val="21"/>
              </w:rPr>
            </w:pPr>
          </w:p>
        </w:tc>
        <w:tc>
          <w:tcPr>
            <w:tcW w:w="9891" w:type="dxa"/>
            <w:vAlign w:val="center"/>
          </w:tcPr>
          <w:p>
            <w:pPr>
              <w:spacing w:line="400" w:lineRule="exact"/>
            </w:pPr>
            <w:r>
              <w:rPr>
                <w:rFonts w:hint="eastAsia"/>
              </w:rPr>
              <w:t xml:space="preserve">   公司用</w:t>
            </w:r>
            <w:r>
              <w:t>PDCA</w:t>
            </w:r>
            <w:r>
              <w:rPr>
                <w:rFonts w:hint="eastAsia"/>
              </w:rPr>
              <w:t>管理循环的原理，对服务、管理体系、管理活动进行持续改进，不断完善本公司的质量、环境和职业健康安全管理体系。</w:t>
            </w:r>
          </w:p>
          <w:p>
            <w:pPr>
              <w:spacing w:line="400" w:lineRule="exact"/>
              <w:rPr>
                <w:rFonts w:hint="eastAsia"/>
              </w:rPr>
            </w:pPr>
            <w:r>
              <w:rPr>
                <w:rFonts w:hint="eastAsia"/>
              </w:rPr>
              <w:t xml:space="preserve">     公司利用质量、环境和职业健康安全方针、质量、环境和职业健康安全目标、审核结果、资料分析、纠正措施以及管理评审等活动以确定是否存在持续改进的需求或机会，以持续改进质量、环境和职业健康安全管理体系的适宜性、充分性和有效性。</w:t>
            </w:r>
          </w:p>
          <w:p>
            <w:pPr>
              <w:spacing w:line="400" w:lineRule="exact"/>
              <w:rPr>
                <w:rFonts w:hint="default" w:eastAsia="宋体"/>
                <w:lang w:val="en-US" w:eastAsia="zh-CN"/>
              </w:rPr>
            </w:pPr>
            <w:r>
              <w:rPr>
                <w:rFonts w:hint="eastAsia" w:ascii="Times New Roman" w:hAnsi="Times New Roman" w:eastAsia="宋体" w:cs="Times New Roman"/>
                <w:szCs w:val="22"/>
                <w:lang w:val="en-US" w:eastAsia="zh-CN"/>
              </w:rPr>
              <w:t>公司对初审的不符合项“现场配备消防设与灭火器，但未点检”，进行了原因分析、制定了纠正措施，完成了整改，措施有效。</w:t>
            </w:r>
          </w:p>
        </w:tc>
        <w:tc>
          <w:tcPr>
            <w:tcW w:w="1585" w:type="dxa"/>
            <w:vAlign w:val="center"/>
          </w:tcPr>
          <w:p>
            <w:pPr>
              <w:spacing w:line="400" w:lineRule="exact"/>
              <w:rPr>
                <w:rFonts w:hint="default" w:ascii="Times New Roman" w:hAnsi="Times New Roman" w:eastAsia="宋体" w:cs="Times New Roman"/>
                <w:szCs w:val="22"/>
                <w:lang w:val="en-US" w:eastAsia="zh-CN"/>
              </w:rPr>
            </w:pPr>
            <w:r>
              <w:rPr>
                <w:rFonts w:hint="eastAsia" w:cs="Times New Roman"/>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人数</w:t>
            </w:r>
          </w:p>
        </w:tc>
        <w:tc>
          <w:tcPr>
            <w:tcW w:w="1206" w:type="dxa"/>
          </w:tcPr>
          <w:p>
            <w:pPr>
              <w:spacing w:line="320" w:lineRule="exact"/>
              <w:rPr>
                <w:rFonts w:cs="宋体" w:asciiTheme="minorEastAsia" w:hAnsiTheme="minorEastAsia" w:eastAsiaTheme="minorEastAsia"/>
                <w:color w:val="auto"/>
                <w:szCs w:val="21"/>
              </w:rPr>
            </w:pPr>
          </w:p>
        </w:tc>
        <w:tc>
          <w:tcPr>
            <w:tcW w:w="9891" w:type="dxa"/>
            <w:vAlign w:val="center"/>
          </w:tcPr>
          <w:p>
            <w:pPr>
              <w:spacing w:line="320" w:lineRule="exac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经与公司管理层确认，</w:t>
            </w:r>
            <w:r>
              <w:rPr>
                <w:rFonts w:hint="eastAsia" w:cs="宋体" w:asciiTheme="minorEastAsia" w:hAnsiTheme="minorEastAsia" w:eastAsiaTheme="minorEastAsia"/>
                <w:color w:val="auto"/>
                <w:szCs w:val="21"/>
              </w:rPr>
              <w:t>公司现有员工</w:t>
            </w:r>
            <w:r>
              <w:rPr>
                <w:rFonts w:hint="eastAsia" w:cs="宋体" w:asciiTheme="minorEastAsia" w:hAnsiTheme="minorEastAsia" w:eastAsiaTheme="minorEastAsia"/>
                <w:color w:val="auto"/>
                <w:szCs w:val="21"/>
                <w:lang w:val="en-US" w:eastAsia="zh-CN"/>
              </w:rPr>
              <w:t>15</w:t>
            </w:r>
            <w:r>
              <w:rPr>
                <w:rFonts w:hint="eastAsia" w:cs="宋体" w:asciiTheme="minorEastAsia" w:hAnsiTheme="minorEastAsia" w:eastAsiaTheme="minorEastAsia"/>
                <w:color w:val="auto"/>
                <w:szCs w:val="21"/>
              </w:rPr>
              <w:t>人</w:t>
            </w:r>
            <w:r>
              <w:rPr>
                <w:rFonts w:hint="eastAsia" w:cs="宋体" w:asciiTheme="minorEastAsia" w:hAnsiTheme="minorEastAsia" w:eastAsiaTheme="minorEastAsia"/>
                <w:color w:val="auto"/>
                <w:szCs w:val="21"/>
                <w:lang w:val="en-US" w:eastAsia="zh-CN"/>
              </w:rPr>
              <w:t>。</w:t>
            </w:r>
          </w:p>
        </w:tc>
        <w:tc>
          <w:tcPr>
            <w:tcW w:w="1585" w:type="dxa"/>
            <w:vAlign w:val="center"/>
          </w:tcPr>
          <w:p>
            <w:pPr>
              <w:spacing w:line="320" w:lineRule="exac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事故</w:t>
            </w:r>
          </w:p>
        </w:tc>
        <w:tc>
          <w:tcPr>
            <w:tcW w:w="1206" w:type="dxa"/>
          </w:tcPr>
          <w:p>
            <w:pPr>
              <w:spacing w:line="320" w:lineRule="exact"/>
              <w:rPr>
                <w:rFonts w:cs="宋体" w:asciiTheme="minorEastAsia" w:hAnsiTheme="minorEastAsia" w:eastAsiaTheme="minorEastAsia"/>
                <w:color w:val="auto"/>
                <w:szCs w:val="21"/>
              </w:rPr>
            </w:pPr>
          </w:p>
        </w:tc>
        <w:tc>
          <w:tcPr>
            <w:tcW w:w="9891"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公司管理体系自运行以来，未发生质量、环境、职业健康安全事故</w:t>
            </w:r>
          </w:p>
        </w:tc>
        <w:tc>
          <w:tcPr>
            <w:tcW w:w="1585" w:type="dxa"/>
            <w:vAlign w:val="center"/>
          </w:tcPr>
          <w:p>
            <w:pPr>
              <w:spacing w:line="320" w:lineRule="exac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顾客投诉</w:t>
            </w:r>
          </w:p>
        </w:tc>
        <w:tc>
          <w:tcPr>
            <w:tcW w:w="1206" w:type="dxa"/>
          </w:tcPr>
          <w:p>
            <w:pPr>
              <w:spacing w:line="320" w:lineRule="exact"/>
              <w:rPr>
                <w:rFonts w:cs="宋体" w:asciiTheme="minorEastAsia" w:hAnsiTheme="minorEastAsia" w:eastAsiaTheme="minorEastAsia"/>
                <w:color w:val="auto"/>
                <w:szCs w:val="21"/>
              </w:rPr>
            </w:pPr>
          </w:p>
        </w:tc>
        <w:tc>
          <w:tcPr>
            <w:tcW w:w="9891"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管理体系运行期间未发生顾客及相关方投诉情况</w:t>
            </w:r>
          </w:p>
        </w:tc>
        <w:tc>
          <w:tcPr>
            <w:tcW w:w="1585" w:type="dxa"/>
            <w:vAlign w:val="center"/>
          </w:tcPr>
          <w:p>
            <w:pPr>
              <w:spacing w:line="320" w:lineRule="exac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上级主管单位监督抽查</w:t>
            </w:r>
          </w:p>
        </w:tc>
        <w:tc>
          <w:tcPr>
            <w:tcW w:w="1206" w:type="dxa"/>
          </w:tcPr>
          <w:p>
            <w:pPr>
              <w:spacing w:line="320" w:lineRule="exact"/>
              <w:rPr>
                <w:rFonts w:cs="宋体" w:asciiTheme="minorEastAsia" w:hAnsiTheme="minorEastAsia" w:eastAsiaTheme="minorEastAsia"/>
                <w:color w:val="auto"/>
                <w:szCs w:val="21"/>
              </w:rPr>
            </w:pPr>
          </w:p>
        </w:tc>
        <w:tc>
          <w:tcPr>
            <w:tcW w:w="9891"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目前没有上级主管部门对公司的在质量、环境、职业健康安全监督抽查</w:t>
            </w:r>
          </w:p>
        </w:tc>
        <w:tc>
          <w:tcPr>
            <w:tcW w:w="1585" w:type="dxa"/>
            <w:vAlign w:val="center"/>
          </w:tcPr>
          <w:p>
            <w:pPr>
              <w:spacing w:line="320" w:lineRule="exac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27"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遵纪守法情况</w:t>
            </w:r>
          </w:p>
        </w:tc>
        <w:tc>
          <w:tcPr>
            <w:tcW w:w="1206" w:type="dxa"/>
          </w:tcPr>
          <w:p>
            <w:pPr>
              <w:spacing w:line="320" w:lineRule="exact"/>
              <w:rPr>
                <w:rFonts w:cs="宋体" w:asciiTheme="minorEastAsia" w:hAnsiTheme="minorEastAsia" w:eastAsiaTheme="minorEastAsia"/>
                <w:color w:val="auto"/>
                <w:szCs w:val="21"/>
              </w:rPr>
            </w:pPr>
          </w:p>
        </w:tc>
        <w:tc>
          <w:tcPr>
            <w:tcW w:w="9891"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目前公司经营过程中没有发生违反相关法律法规及其他要求的情况，提供了守法证明。</w:t>
            </w:r>
          </w:p>
        </w:tc>
        <w:tc>
          <w:tcPr>
            <w:tcW w:w="1585" w:type="dxa"/>
          </w:tcPr>
          <w:p>
            <w:pPr>
              <w:spacing w:line="320" w:lineRule="exac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Y</w:t>
            </w:r>
          </w:p>
        </w:tc>
      </w:tr>
    </w:tbl>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990" w:firstLineChars="550"/>
      <w:jc w:val="left"/>
      <w:rPr>
        <w:rStyle w:val="22"/>
        <w:rFonts w:hint="default"/>
      </w:rPr>
    </w:pPr>
    <w:r>
      <w:drawing>
        <wp:anchor distT="0" distB="0" distL="114300" distR="114300" simplePos="0" relativeHeight="251665408" behindDoc="0" locked="0" layoutInCell="1" allowOverlap="1">
          <wp:simplePos x="0" y="0"/>
          <wp:positionH relativeFrom="column">
            <wp:posOffset>69850</wp:posOffset>
          </wp:positionH>
          <wp:positionV relativeFrom="paragraph">
            <wp:posOffset>6350</wp:posOffset>
          </wp:positionV>
          <wp:extent cx="485775" cy="485775"/>
          <wp:effectExtent l="0" t="0" r="1905" b="190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QfhE2AAAAAsBAAAP&#10;AAAAAAAAAAEAIAAAACIAAABkcnMvZG93bnJldi54bWxQSwECFAAUAAAACACHTuJAaaqWJ6YBAAAp&#10;AwAADgAAAAAAAAABACAAAAAnAQAAZHJzL2Uyb0RvYy54bWxQSwUGAAAAAAYABgBZAQAAPw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0"/>
      <w:pBdr>
        <w:bottom w:val="none" w:color="auto" w:sz="0" w:space="0"/>
      </w:pBdr>
      <w:spacing w:line="320" w:lineRule="exact"/>
      <w:ind w:firstLine="945" w:firstLineChars="500"/>
      <w:jc w:val="left"/>
    </w:pPr>
    <w:r>
      <w:rPr>
        <w:rStyle w:val="2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48EA"/>
    <w:rsid w:val="01180380"/>
    <w:rsid w:val="01AF11A7"/>
    <w:rsid w:val="032B0673"/>
    <w:rsid w:val="04D504CE"/>
    <w:rsid w:val="051A3281"/>
    <w:rsid w:val="0716047F"/>
    <w:rsid w:val="08480442"/>
    <w:rsid w:val="085836DF"/>
    <w:rsid w:val="09462DED"/>
    <w:rsid w:val="09D06427"/>
    <w:rsid w:val="0BB82669"/>
    <w:rsid w:val="0C9237D5"/>
    <w:rsid w:val="0D091DF0"/>
    <w:rsid w:val="0D881B3B"/>
    <w:rsid w:val="0F0F6EE1"/>
    <w:rsid w:val="0F792B1F"/>
    <w:rsid w:val="119D5C9C"/>
    <w:rsid w:val="12035330"/>
    <w:rsid w:val="13886727"/>
    <w:rsid w:val="151A6C57"/>
    <w:rsid w:val="15B879F6"/>
    <w:rsid w:val="15BA3540"/>
    <w:rsid w:val="160F7FF1"/>
    <w:rsid w:val="171F7E47"/>
    <w:rsid w:val="17471BA9"/>
    <w:rsid w:val="17720B8F"/>
    <w:rsid w:val="18BC6A77"/>
    <w:rsid w:val="18D83B46"/>
    <w:rsid w:val="195601B2"/>
    <w:rsid w:val="19EE5E43"/>
    <w:rsid w:val="1A0809DA"/>
    <w:rsid w:val="1B1512E3"/>
    <w:rsid w:val="1BDA3E34"/>
    <w:rsid w:val="1DB059A9"/>
    <w:rsid w:val="1DBA604E"/>
    <w:rsid w:val="1DD03423"/>
    <w:rsid w:val="1DE113A0"/>
    <w:rsid w:val="1F4B30D6"/>
    <w:rsid w:val="1F806AA2"/>
    <w:rsid w:val="1FA14CD6"/>
    <w:rsid w:val="200562A5"/>
    <w:rsid w:val="201A379E"/>
    <w:rsid w:val="20B34D61"/>
    <w:rsid w:val="20E5724D"/>
    <w:rsid w:val="212F1284"/>
    <w:rsid w:val="21DB3660"/>
    <w:rsid w:val="22794FFB"/>
    <w:rsid w:val="22A41BB0"/>
    <w:rsid w:val="23024F01"/>
    <w:rsid w:val="240A53AC"/>
    <w:rsid w:val="24D9525F"/>
    <w:rsid w:val="25537E33"/>
    <w:rsid w:val="2584429E"/>
    <w:rsid w:val="262E6969"/>
    <w:rsid w:val="269B68EF"/>
    <w:rsid w:val="26B944F0"/>
    <w:rsid w:val="272315A6"/>
    <w:rsid w:val="27B62226"/>
    <w:rsid w:val="28242AC9"/>
    <w:rsid w:val="28830F74"/>
    <w:rsid w:val="29494E7D"/>
    <w:rsid w:val="2A674810"/>
    <w:rsid w:val="2B2D0A38"/>
    <w:rsid w:val="2B3B44A6"/>
    <w:rsid w:val="2BB03906"/>
    <w:rsid w:val="2BB514D2"/>
    <w:rsid w:val="2BFB4D68"/>
    <w:rsid w:val="2D5339E0"/>
    <w:rsid w:val="2FAD46F5"/>
    <w:rsid w:val="2FD24514"/>
    <w:rsid w:val="30772602"/>
    <w:rsid w:val="307F6F63"/>
    <w:rsid w:val="326041EB"/>
    <w:rsid w:val="32A02948"/>
    <w:rsid w:val="32E6237D"/>
    <w:rsid w:val="32FB310C"/>
    <w:rsid w:val="334829DA"/>
    <w:rsid w:val="34723FE4"/>
    <w:rsid w:val="34F64338"/>
    <w:rsid w:val="371B594D"/>
    <w:rsid w:val="37AA3F6E"/>
    <w:rsid w:val="37EE3193"/>
    <w:rsid w:val="38832645"/>
    <w:rsid w:val="3AC129F1"/>
    <w:rsid w:val="3C166CFC"/>
    <w:rsid w:val="3D7067C3"/>
    <w:rsid w:val="3D9B54D3"/>
    <w:rsid w:val="3E746836"/>
    <w:rsid w:val="3F3526ED"/>
    <w:rsid w:val="40436DCF"/>
    <w:rsid w:val="40613321"/>
    <w:rsid w:val="409259F7"/>
    <w:rsid w:val="436D4E87"/>
    <w:rsid w:val="43A74F27"/>
    <w:rsid w:val="442A76B9"/>
    <w:rsid w:val="46AF0BFD"/>
    <w:rsid w:val="474E2C8A"/>
    <w:rsid w:val="476D10C7"/>
    <w:rsid w:val="47831174"/>
    <w:rsid w:val="482F5B2C"/>
    <w:rsid w:val="4A2F437A"/>
    <w:rsid w:val="4BFC39ED"/>
    <w:rsid w:val="4C1A3F8E"/>
    <w:rsid w:val="4C903766"/>
    <w:rsid w:val="4DC92C5E"/>
    <w:rsid w:val="4E3702BF"/>
    <w:rsid w:val="4E846198"/>
    <w:rsid w:val="4EA956A6"/>
    <w:rsid w:val="507A1915"/>
    <w:rsid w:val="50F96055"/>
    <w:rsid w:val="51531B96"/>
    <w:rsid w:val="515A301C"/>
    <w:rsid w:val="5166732F"/>
    <w:rsid w:val="51E71C02"/>
    <w:rsid w:val="51FE3FD6"/>
    <w:rsid w:val="521F427F"/>
    <w:rsid w:val="54392608"/>
    <w:rsid w:val="54546E5E"/>
    <w:rsid w:val="5631166A"/>
    <w:rsid w:val="57436A16"/>
    <w:rsid w:val="575A60C6"/>
    <w:rsid w:val="578F356D"/>
    <w:rsid w:val="57A36AEC"/>
    <w:rsid w:val="58CA3316"/>
    <w:rsid w:val="590B3FD1"/>
    <w:rsid w:val="5A0248AE"/>
    <w:rsid w:val="5A293AE3"/>
    <w:rsid w:val="5A3A794C"/>
    <w:rsid w:val="5A93214A"/>
    <w:rsid w:val="5B1443B5"/>
    <w:rsid w:val="5B6D0F11"/>
    <w:rsid w:val="5C8728B9"/>
    <w:rsid w:val="5CD10269"/>
    <w:rsid w:val="603B256D"/>
    <w:rsid w:val="60913EFF"/>
    <w:rsid w:val="62831AB3"/>
    <w:rsid w:val="62C767B0"/>
    <w:rsid w:val="631661A9"/>
    <w:rsid w:val="63B72057"/>
    <w:rsid w:val="650B5ADC"/>
    <w:rsid w:val="65C64185"/>
    <w:rsid w:val="66240AB6"/>
    <w:rsid w:val="66656FF1"/>
    <w:rsid w:val="667D06C6"/>
    <w:rsid w:val="66AC15B7"/>
    <w:rsid w:val="66FF69E5"/>
    <w:rsid w:val="69A54F91"/>
    <w:rsid w:val="6B571F27"/>
    <w:rsid w:val="6BBE328E"/>
    <w:rsid w:val="6BDA1469"/>
    <w:rsid w:val="6D4A3CD5"/>
    <w:rsid w:val="6F384F6A"/>
    <w:rsid w:val="70FF7FCB"/>
    <w:rsid w:val="72EE1DF9"/>
    <w:rsid w:val="7339379F"/>
    <w:rsid w:val="741D41A3"/>
    <w:rsid w:val="758B4545"/>
    <w:rsid w:val="76721B7F"/>
    <w:rsid w:val="770E0659"/>
    <w:rsid w:val="774E113E"/>
    <w:rsid w:val="79895BDE"/>
    <w:rsid w:val="7A943C5E"/>
    <w:rsid w:val="7BDE31B7"/>
    <w:rsid w:val="7CD67812"/>
    <w:rsid w:val="7D6D7688"/>
    <w:rsid w:val="7DBF077D"/>
    <w:rsid w:val="7DE12FA7"/>
    <w:rsid w:val="7E4137F4"/>
    <w:rsid w:val="7E5B41E9"/>
    <w:rsid w:val="7E7A1611"/>
    <w:rsid w:val="7ED67AE7"/>
    <w:rsid w:val="7F9E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5">
    <w:name w:val="Body Text Indent"/>
    <w:basedOn w:val="1"/>
    <w:qFormat/>
    <w:uiPriority w:val="0"/>
    <w:pPr>
      <w:ind w:firstLine="420"/>
    </w:pPr>
    <w:rPr>
      <w:szCs w:val="20"/>
    </w:rPr>
  </w:style>
  <w:style w:type="paragraph" w:styleId="6">
    <w:name w:val="toc 3"/>
    <w:basedOn w:val="1"/>
    <w:next w:val="1"/>
    <w:qFormat/>
    <w:uiPriority w:val="0"/>
    <w:pPr>
      <w:ind w:left="840" w:leftChars="400"/>
      <w:jc w:val="both"/>
    </w:pPr>
    <w:rPr>
      <w:rFonts w:ascii="Calibri" w:hAnsi="Calibri" w:eastAsia="宋体" w:cs="Calibri"/>
      <w:iCs/>
    </w:rPr>
  </w:style>
  <w:style w:type="paragraph" w:styleId="7">
    <w:name w:val="Plain Text"/>
    <w:basedOn w:val="1"/>
    <w:qFormat/>
    <w:uiPriority w:val="0"/>
    <w:rPr>
      <w:rFonts w:ascii="宋体" w:hAnsi="Courier New" w:cs="Courier New" w:eastAsiaTheme="minorEastAsia"/>
      <w:szCs w:val="21"/>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360" w:lineRule="exact"/>
      <w:ind w:left="630" w:leftChars="300"/>
    </w:pPr>
    <w:rPr>
      <w:rFonts w:eastAsia="楷体_GB2312"/>
      <w:sz w:val="28"/>
    </w:rPr>
  </w:style>
  <w:style w:type="paragraph" w:styleId="12">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3">
    <w:name w:val="Body Text First Indent"/>
    <w:basedOn w:val="4"/>
    <w:qFormat/>
    <w:uiPriority w:val="0"/>
    <w:pPr>
      <w:ind w:firstLine="420" w:firstLineChars="1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basedOn w:val="16"/>
    <w:qFormat/>
    <w:uiPriority w:val="0"/>
  </w:style>
  <w:style w:type="character" w:customStyle="1" w:styleId="19">
    <w:name w:val="页眉 字符"/>
    <w:basedOn w:val="16"/>
    <w:link w:val="10"/>
    <w:qFormat/>
    <w:uiPriority w:val="99"/>
    <w:rPr>
      <w:rFonts w:ascii="Times New Roman" w:hAnsi="Times New Roman" w:eastAsia="宋体" w:cs="Times New Roman"/>
      <w:sz w:val="18"/>
      <w:szCs w:val="18"/>
    </w:rPr>
  </w:style>
  <w:style w:type="character" w:customStyle="1" w:styleId="20">
    <w:name w:val="页脚 字符"/>
    <w:basedOn w:val="16"/>
    <w:link w:val="9"/>
    <w:qFormat/>
    <w:uiPriority w:val="99"/>
    <w:rPr>
      <w:rFonts w:ascii="Times New Roman" w:hAnsi="Times New Roman" w:eastAsia="宋体" w:cs="Times New Roman"/>
      <w:sz w:val="18"/>
      <w:szCs w:val="18"/>
    </w:rPr>
  </w:style>
  <w:style w:type="character" w:customStyle="1" w:styleId="21">
    <w:name w:val="批注框文本 字符"/>
    <w:basedOn w:val="16"/>
    <w:link w:val="8"/>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character" w:customStyle="1" w:styleId="23">
    <w:name w:val="textcontents"/>
    <w:basedOn w:val="16"/>
    <w:qFormat/>
    <w:uiPriority w:val="0"/>
  </w:style>
  <w:style w:type="character" w:customStyle="1" w:styleId="24">
    <w:name w:val="NormalCharacter"/>
    <w:semiHidden/>
    <w:qFormat/>
    <w:uiPriority w:val="0"/>
    <w:rPr>
      <w:kern w:val="2"/>
      <w:sz w:val="21"/>
      <w:szCs w:val="24"/>
      <w:lang w:val="en-US" w:eastAsia="zh-CN" w:bidi="ar-SA"/>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8</TotalTime>
  <ScaleCrop>false</ScaleCrop>
  <LinksUpToDate>false</LinksUpToDate>
  <CharactersWithSpaces>147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秋子(喻荣秋)</cp:lastModifiedBy>
  <dcterms:modified xsi:type="dcterms:W3CDTF">2022-04-08T01:05:31Z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2052-11.1.0.9584</vt:lpwstr>
  </property>
</Properties>
</file>