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江苏创惠环保科技有限公司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宜兴市高塍镇红旗路9号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宜兴市高塍镇赛特路20号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徐俊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13812238336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214068108@qq.com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0429-2021-EO-2022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E：环保水处理设备的销售所涉及场所的相关环境管理活动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O：环保水处理设备的销售所涉及场所的相关职业健康安全管理活动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2" w:name="专业代码"/>
            <w:r>
              <w:rPr>
                <w:sz w:val="20"/>
              </w:rPr>
              <w:t>E：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1"/>
                <w:szCs w:val="21"/>
              </w:rPr>
              <w:t>O：</w:t>
            </w:r>
            <w:bookmarkEnd w:id="22"/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远程审核于2022年04月06日 下午至2022年04月07日 上午(共1.0天)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2022.4.6</w:t>
            </w: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2022.4.6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ascii="宋体" w:hAnsi="宋体" w:cs="Arial"/>
                <w:spacing w:val="-6"/>
                <w:sz w:val="24"/>
                <w:szCs w:val="24"/>
              </w:rPr>
              <w:t>E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安全方针、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O5.4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协商与参与、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持续改进，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 xml:space="preserve">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cs="Arial"/>
                <w:spacing w:val="-6"/>
                <w:sz w:val="24"/>
                <w:szCs w:val="24"/>
              </w:rPr>
              <w:t>O:4.1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安全方针、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O5.4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协商与参与、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持续改进，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cs="Arial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pacing w:val="-6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O: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6.1.3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合规义务、法律法规和其他要求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6.1.4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措施的策划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6.2.1</w:t>
            </w:r>
            <w:r>
              <w:rPr>
                <w:rFonts w:hint="eastAsia" w:ascii="宋体" w:hAnsi="宋体" w:cs="Arial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6.2.2</w:t>
            </w:r>
            <w:r>
              <w:rPr>
                <w:rFonts w:hint="eastAsia" w:ascii="宋体" w:hAnsi="宋体" w:cs="Arial"/>
                <w:sz w:val="24"/>
                <w:szCs w:val="24"/>
              </w:rPr>
              <w:t>实现环境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职业健康安全目标措施的策划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9.1.2合规性评价、9.1.1监视测量和分析、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不符合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6.1.3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合规义务、法律法规和其他要求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6.1.4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措施的策划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6.2.1</w:t>
            </w:r>
            <w:r>
              <w:rPr>
                <w:rFonts w:hint="eastAsia" w:ascii="宋体" w:hAnsi="宋体" w:cs="Arial"/>
                <w:sz w:val="24"/>
                <w:szCs w:val="24"/>
              </w:rPr>
              <w:t>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6.2.2</w:t>
            </w:r>
            <w:r>
              <w:rPr>
                <w:rFonts w:hint="eastAsia" w:ascii="宋体" w:hAnsi="宋体" w:cs="Arial"/>
                <w:sz w:val="24"/>
                <w:szCs w:val="24"/>
              </w:rPr>
              <w:t>实现环境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职业健康安全目标措施的策划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9.1.2合规性评价、9.1.1监视测量和分析、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不符合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2022.4.7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28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O: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280" w:lineRule="exact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E: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280" w:lineRule="exact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E</w:t>
            </w:r>
            <w:bookmarkStart w:id="31" w:name="_GoBack"/>
            <w:bookmarkEnd w:id="31"/>
            <w:r>
              <w:rPr>
                <w:rFonts w:ascii="宋体" w:hAnsi="宋体" w:cs="Arial"/>
                <w:sz w:val="24"/>
                <w:szCs w:val="24"/>
              </w:rPr>
              <w:t>O: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环境与职业健康安全目标、</w:t>
            </w:r>
            <w:r>
              <w:rPr>
                <w:rFonts w:ascii="宋体" w:hAnsi="宋体" w:cs="Arial"/>
                <w:sz w:val="24"/>
                <w:szCs w:val="24"/>
              </w:rPr>
              <w:t>6.1.2</w:t>
            </w:r>
            <w:r>
              <w:rPr>
                <w:rFonts w:hint="eastAsia" w:ascii="宋体" w:hAnsi="宋体" w:cs="Arial"/>
                <w:sz w:val="24"/>
                <w:szCs w:val="24"/>
              </w:rPr>
              <w:t>环境因素</w:t>
            </w:r>
            <w:r>
              <w:rPr>
                <w:rFonts w:ascii="宋体" w:hAnsi="宋体" w:cs="Arial"/>
                <w:sz w:val="24"/>
                <w:szCs w:val="24"/>
              </w:rPr>
              <w:t>/</w:t>
            </w:r>
            <w:r>
              <w:rPr>
                <w:rFonts w:hint="eastAsia" w:ascii="宋体" w:hAnsi="宋体" w:cs="Arial"/>
                <w:sz w:val="24"/>
                <w:szCs w:val="24"/>
              </w:rPr>
              <w:t>危险源辨识与评价、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EMS\OHSMS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D3512"/>
    <w:rsid w:val="415B78AE"/>
    <w:rsid w:val="66A01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2154</Words>
  <Characters>2987</Characters>
  <Lines>37</Lines>
  <Paragraphs>10</Paragraphs>
  <TotalTime>12</TotalTime>
  <ScaleCrop>false</ScaleCrop>
  <LinksUpToDate>false</LinksUpToDate>
  <CharactersWithSpaces>3052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2022-04-07T03:44:32Z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