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0693-2020-QEO-2022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杭州邦凝生态环境建设发展有限公司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杭州邦凝生态环境建设发展有限公司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浙江省杭州市萧山区城厢街道湘湖路36-11号</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浙江省杭州市萧山区城厢街道湘湖路36-11号</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王益枫</w:t>
            </w:r>
            <w:bookmarkEnd w:id="10"/>
          </w:p>
        </w:tc>
        <w:tc>
          <w:tcPr>
            <w:tcW w:w="1313" w:type="dxa"/>
            <w:vAlign w:val="center"/>
          </w:tcPr>
          <w:p>
            <w:r>
              <w:rPr>
                <w:rFonts w:hint="eastAsia"/>
              </w:rPr>
              <w:t>电话.</w:t>
            </w:r>
          </w:p>
        </w:tc>
        <w:tc>
          <w:tcPr>
            <w:tcW w:w="2180" w:type="dxa"/>
            <w:vAlign w:val="center"/>
          </w:tcPr>
          <w:p>
            <w:bookmarkStart w:id="11" w:name="联系人电话"/>
            <w:r>
              <w:t>13758259532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魏志标</w:t>
            </w:r>
            <w:bookmarkEnd w:id="13"/>
          </w:p>
        </w:tc>
        <w:tc>
          <w:tcPr>
            <w:tcW w:w="1313" w:type="dxa"/>
            <w:vAlign w:val="center"/>
          </w:tcPr>
          <w:p>
            <w:r>
              <w:rPr>
                <w:rFonts w:hint="eastAsia"/>
              </w:rPr>
              <w:t>管理者代表</w:t>
            </w:r>
          </w:p>
        </w:tc>
        <w:tc>
          <w:tcPr>
            <w:tcW w:w="2180" w:type="dxa"/>
          </w:tcPr>
          <w:p>
            <w:bookmarkStart w:id="14" w:name="管理者代表"/>
            <w:r>
              <w:t>王益枫</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jc w:val="left"/>
              <w:rPr>
                <w:rFonts w:hint="eastAsia"/>
                <w:lang w:val="en-US" w:eastAsia="zh-CN"/>
              </w:rPr>
            </w:pPr>
            <w:r>
              <w:rPr>
                <w:rFonts w:hint="eastAsia"/>
                <w:lang w:val="en-US" w:eastAsia="zh-CN"/>
              </w:rPr>
              <w:t>城市和农村生活垃圾分类管理流程</w:t>
            </w:r>
          </w:p>
          <w:p>
            <w:pPr>
              <w:rPr>
                <w:rFonts w:hint="eastAsia"/>
                <w:lang w:val="en-US" w:eastAsia="zh-CN"/>
              </w:rPr>
            </w:pPr>
          </w:p>
          <w:p>
            <w:pPr>
              <w:pStyle w:val="3"/>
              <w:jc w:val="both"/>
              <w:rPr>
                <w:rFonts w:hint="default"/>
                <w:lang w:val="en-US" w:eastAsia="zh-CN"/>
              </w:rPr>
            </w:pPr>
            <w:r>
              <w:rPr>
                <w:rFonts w:hint="eastAsia"/>
                <w:lang w:val="en-US" w:eastAsia="zh-CN"/>
              </w:rPr>
              <w:t>签订社区服务合同→制定社区垃圾分类管理服务方案→投放垃圾分类箱→宣传垃圾分类知识→定投督导服务。</w:t>
            </w:r>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2022年04月07日 下午至2022年04月08日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浙江省杭州市萧山区城厢街道湘湖路36-11号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O：再生资源销售、城市和农村生活垃圾分类所涉及场所的相关职业健康安全管理活动</w:t>
            </w:r>
          </w:p>
          <w:p>
            <w:r>
              <w:t>E：再生资源销售、城市和农村生活垃圾分类所涉及场所的相关环境管理活动</w:t>
            </w:r>
          </w:p>
          <w:p>
            <w:r>
              <w:t>Q：再生资源销售、城市和农村生活垃圾分类</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O：24.01.02;29.12.00</w:t>
            </w:r>
          </w:p>
          <w:p>
            <w:r>
              <w:t>E：24.01.02;29.12.00</w:t>
            </w:r>
          </w:p>
          <w:p>
            <w:r>
              <w:t>Q：24.01.02;29.12.00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26</w:t>
            </w:r>
            <w:r>
              <w:rPr>
                <w:rFonts w:hint="eastAsia"/>
              </w:rPr>
              <w:t xml:space="preserve">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eastAsia="zh-CN"/>
              </w:rPr>
            </w:pPr>
            <w:r>
              <w:rPr>
                <w:rFonts w:hint="eastAsia"/>
                <w:lang w:eastAsia="zh-CN"/>
              </w:rPr>
              <w:t>杭州邦凝生态环境建设发展有限公司</w:t>
            </w:r>
          </w:p>
          <w:p>
            <w:pPr>
              <w:pStyle w:val="10"/>
              <w:ind w:left="0" w:leftChars="0" w:firstLine="0" w:firstLineChars="0"/>
              <w:rPr>
                <w:lang w:val="de-DE" w:eastAsia="ja-JP"/>
              </w:rPr>
            </w:pPr>
            <w:r>
              <w:rPr>
                <w:rFonts w:hint="eastAsia" w:asciiTheme="minorEastAsia" w:hAnsiTheme="minorEastAsia" w:eastAsiaTheme="minorEastAsia"/>
                <w:sz w:val="20"/>
                <w:lang w:eastAsia="zh-CN"/>
              </w:rPr>
              <w:t>浙江省杭州市萧山区城厢街道湘湖路36-11号</w:t>
            </w:r>
          </w:p>
        </w:tc>
        <w:tc>
          <w:tcPr>
            <w:tcW w:w="2267" w:type="dxa"/>
            <w:vAlign w:val="top"/>
          </w:tcPr>
          <w:p>
            <w:pPr>
              <w:rPr>
                <w:lang w:val="de-DE" w:eastAsia="ja-JP"/>
              </w:rPr>
            </w:pPr>
            <w:r>
              <w:rPr>
                <w:rFonts w:hint="eastAsia" w:asciiTheme="minorEastAsia" w:hAnsiTheme="minorEastAsia" w:eastAsiaTheme="minorEastAsia"/>
                <w:sz w:val="20"/>
                <w:lang w:eastAsia="zh-CN"/>
              </w:rPr>
              <w:t>浙江省杭州市萧山区城厢街道湘湖路36-11号</w:t>
            </w:r>
          </w:p>
        </w:tc>
        <w:tc>
          <w:tcPr>
            <w:tcW w:w="571" w:type="dxa"/>
            <w:vAlign w:val="center"/>
          </w:tcPr>
          <w:p>
            <w:pPr>
              <w:rPr>
                <w:lang w:eastAsia="ja-JP"/>
              </w:rPr>
            </w:pPr>
            <w:r>
              <w:rPr>
                <w:rFonts w:hint="eastAsia"/>
                <w:lang w:val="en-US" w:eastAsia="zh-CN"/>
              </w:rPr>
              <w:t>45</w:t>
            </w:r>
          </w:p>
        </w:tc>
        <w:tc>
          <w:tcPr>
            <w:tcW w:w="2803" w:type="dxa"/>
            <w:vAlign w:val="center"/>
          </w:tcPr>
          <w:p>
            <w:pPr>
              <w:rPr>
                <w:rFonts w:hint="eastAsia" w:eastAsia="宋体"/>
                <w:sz w:val="20"/>
                <w:lang w:eastAsia="zh-CN"/>
              </w:rPr>
            </w:pPr>
            <w:r>
              <w:rPr>
                <w:sz w:val="20"/>
              </w:rPr>
              <w:t>Q：</w:t>
            </w:r>
            <w:r>
              <w:rPr>
                <w:rFonts w:hint="eastAsia"/>
                <w:sz w:val="20"/>
                <w:lang w:eastAsia="zh-CN"/>
              </w:rPr>
              <w:t>再生资源销售、城市和农村生活垃圾分类</w:t>
            </w:r>
          </w:p>
          <w:p>
            <w:pPr>
              <w:rPr>
                <w:sz w:val="20"/>
              </w:rPr>
            </w:pPr>
            <w:r>
              <w:rPr>
                <w:sz w:val="20"/>
              </w:rPr>
              <w:t>E：</w:t>
            </w:r>
            <w:r>
              <w:rPr>
                <w:rFonts w:hint="eastAsia"/>
                <w:sz w:val="20"/>
                <w:lang w:eastAsia="zh-CN"/>
              </w:rPr>
              <w:t>再生资源销售、城市和农村生活垃圾分类</w:t>
            </w:r>
            <w:r>
              <w:rPr>
                <w:sz w:val="20"/>
              </w:rPr>
              <w:t>所涉及场所的相关环境管理活动</w:t>
            </w:r>
          </w:p>
          <w:p>
            <w:pPr>
              <w:rPr>
                <w:lang w:eastAsia="ja-JP"/>
              </w:rPr>
            </w:pPr>
            <w:r>
              <w:rPr>
                <w:sz w:val="20"/>
              </w:rPr>
              <w:t>O：</w:t>
            </w:r>
            <w:r>
              <w:rPr>
                <w:rFonts w:hint="eastAsia"/>
                <w:sz w:val="20"/>
                <w:lang w:eastAsia="zh-CN"/>
              </w:rPr>
              <w:t>再生资源销售、城市和农村生活垃圾分类</w:t>
            </w:r>
            <w:r>
              <w:rPr>
                <w:sz w:val="20"/>
              </w:rPr>
              <w:t>所涉及场所的相关职业健康安全管理活动</w:t>
            </w:r>
          </w:p>
        </w:tc>
        <w:tc>
          <w:tcPr>
            <w:tcW w:w="669" w:type="dxa"/>
            <w:vAlign w:val="center"/>
          </w:tcPr>
          <w:p>
            <w:pPr>
              <w:rPr>
                <w:lang w:eastAsia="ja-JP"/>
              </w:rPr>
            </w:pPr>
            <w:r>
              <w:rPr>
                <w:rFonts w:ascii="宋体" w:hAnsi="宋体" w:cs="宋体"/>
                <w:color w:val="000000"/>
                <w:kern w:val="0"/>
                <w:szCs w:val="21"/>
              </w:rPr>
              <w:t>O：GB/T45001-2020,E：GB/T 24001-2016,Q：GB/T19001-2016</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2020-N1OHSMS-1258213</w:t>
            </w:r>
          </w:p>
          <w:p>
            <w:r>
              <w:t>2020-N1EMS-1258213</w:t>
            </w:r>
          </w:p>
          <w:p>
            <w:r>
              <w:t>2019-N1QMS-1258213</w:t>
            </w:r>
          </w:p>
        </w:tc>
        <w:tc>
          <w:tcPr>
            <w:tcW w:w="2179" w:type="dxa"/>
            <w:vAlign w:val="center"/>
          </w:tcPr>
          <w:p>
            <w:r>
              <w:t>O:29.12.00</w:t>
            </w:r>
          </w:p>
          <w:p>
            <w:r>
              <w:t>E:29.12.00</w:t>
            </w:r>
          </w:p>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王献华</w:t>
            </w:r>
            <w:r>
              <w:rPr>
                <w:rFonts w:hint="eastAsia"/>
                <w:lang w:eastAsia="zh-CN"/>
              </w:rPr>
              <w:t>（</w:t>
            </w:r>
            <w:r>
              <w:rPr>
                <w:rFonts w:hint="eastAsia"/>
                <w:lang w:val="en-US" w:eastAsia="zh-CN"/>
              </w:rPr>
              <w:t>远程）</w:t>
            </w:r>
          </w:p>
        </w:tc>
        <w:tc>
          <w:tcPr>
            <w:tcW w:w="1089" w:type="dxa"/>
            <w:vAlign w:val="center"/>
          </w:tcPr>
          <w:p>
            <w:r>
              <w:t>组员</w:t>
            </w:r>
          </w:p>
        </w:tc>
        <w:tc>
          <w:tcPr>
            <w:tcW w:w="711" w:type="dxa"/>
            <w:vAlign w:val="center"/>
          </w:tcPr>
          <w:p>
            <w:r>
              <w:t>男</w:t>
            </w:r>
          </w:p>
        </w:tc>
        <w:tc>
          <w:tcPr>
            <w:tcW w:w="3870" w:type="dxa"/>
            <w:vAlign w:val="center"/>
          </w:tcPr>
          <w:p>
            <w:r>
              <w:t>2021-N1OHSMS-1244982</w:t>
            </w:r>
          </w:p>
          <w:p>
            <w:r>
              <w:t>2021-N1EMS-1244982</w:t>
            </w:r>
          </w:p>
          <w:p>
            <w:r>
              <w:t>2021-N1QMS-1244982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徐城立</w:t>
            </w:r>
          </w:p>
        </w:tc>
        <w:tc>
          <w:tcPr>
            <w:tcW w:w="1089" w:type="dxa"/>
            <w:vAlign w:val="center"/>
          </w:tcPr>
          <w:p>
            <w:r>
              <w:t>组员</w:t>
            </w:r>
          </w:p>
        </w:tc>
        <w:tc>
          <w:tcPr>
            <w:tcW w:w="711" w:type="dxa"/>
            <w:vAlign w:val="center"/>
          </w:tcPr>
          <w:p>
            <w:r>
              <w:t>男</w:t>
            </w:r>
          </w:p>
        </w:tc>
        <w:tc>
          <w:tcPr>
            <w:tcW w:w="3870" w:type="dxa"/>
            <w:vAlign w:val="center"/>
          </w:tcPr>
          <w:p>
            <w:r>
              <w:t>ISC-JSZJ-390</w:t>
            </w:r>
          </w:p>
          <w:p>
            <w:r>
              <w:t>ISC-JSZJ-390</w:t>
            </w:r>
          </w:p>
          <w:p>
            <w:r>
              <w:t>ISC-JSZJ-390</w:t>
            </w:r>
          </w:p>
          <w:p>
            <w:r>
              <w:t>启迪城服（杭州）环境科技有限公司</w:t>
            </w:r>
          </w:p>
        </w:tc>
        <w:tc>
          <w:tcPr>
            <w:tcW w:w="2179" w:type="dxa"/>
            <w:vAlign w:val="center"/>
          </w:tcPr>
          <w:p>
            <w:r>
              <w:t>O:24.01.02</w:t>
            </w:r>
          </w:p>
          <w:p>
            <w:r>
              <w:t>E:24.01.02</w:t>
            </w:r>
          </w:p>
          <w:p>
            <w:r>
              <w:t>Q:24.01.02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针对初次审核发生的不符合：运营部可回收垃圾存放场所，灭火器摆放位置被遮挡，无点检记录，现场查看已整改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500380</wp:posOffset>
                  </wp:positionH>
                  <wp:positionV relativeFrom="paragraph">
                    <wp:posOffset>52705</wp:posOffset>
                  </wp:positionV>
                  <wp:extent cx="718820" cy="323215"/>
                  <wp:effectExtent l="0" t="0" r="5080" b="6985"/>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718820" cy="3232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51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51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主管部门</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highlight w:val="none"/>
                    </w:rPr>
                    <w:sym w:font="Wingdings 2" w:char="0052"/>
                  </w:r>
                  <w:r>
                    <w:rPr>
                      <w:rFonts w:hint="eastAsia"/>
                      <w:highlight w:val="none"/>
                      <w:lang w:val="en-US" w:eastAsia="zh-CN"/>
                    </w:rPr>
                    <w:t>遵守检验检测相关的法律法规</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供方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组织的持续经营、明示采购要求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lang w:val="en-US" w:eastAsia="zh-CN"/>
                    </w:rPr>
                    <w:t>顾客</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产品/服务质量持续满足要求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szCs w:val="24"/>
                    </w:rPr>
                  </w:pPr>
                  <w:r>
                    <w:rPr>
                      <w:rFonts w:hint="eastAsia"/>
                      <w:highlight w:val="none"/>
                    </w:rPr>
                    <w:sym w:font="Wingdings 2" w:char="0052"/>
                  </w:r>
                  <w:r>
                    <w:rPr>
                      <w:rFonts w:hint="eastAsia"/>
                      <w:highlight w:val="none"/>
                      <w:vertAlign w:val="baseline"/>
                      <w:lang w:val="en-US" w:eastAsia="zh-CN"/>
                    </w:rPr>
                    <w:t>员工</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组织的持续经营、自我发展</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lang w:eastAsia="zh-CN"/>
                    </w:rPr>
                    <w:sym w:font="Wingdings 2" w:char="0052"/>
                  </w:r>
                  <w:r>
                    <w:rPr>
                      <w:rFonts w:hint="eastAsia"/>
                      <w:highlight w:val="none"/>
                      <w:lang w:val="en-US" w:eastAsia="zh-CN"/>
                    </w:rPr>
                    <w:t>投资方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组织的持续经营、盈利</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513" w:type="dxa"/>
                </w:tcPr>
                <w:p>
                  <w:pPr>
                    <w:keepNext w:val="0"/>
                    <w:keepLines w:val="0"/>
                    <w:suppressLineNumbers w:val="0"/>
                    <w:spacing w:before="0" w:beforeAutospacing="0" w:after="0" w:afterAutospacing="0"/>
                    <w:ind w:left="0" w:right="0"/>
                    <w:rPr>
                      <w:rFonts w:hint="eastAsia"/>
                      <w:color w:val="000000" w:themeColor="text1"/>
                    </w:rPr>
                  </w:pP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A3"/>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服务至上，诚信第一；规范管理，遵纪守法；预防污染，保护环境；保障安全，持续改进。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hint="eastAsia" w:ascii="宋体" w:hAnsi="宋体"/>
                      <w:color w:val="333333"/>
                      <w:sz w:val="18"/>
                      <w:szCs w:val="18"/>
                    </w:rPr>
                  </w:pPr>
                  <w:r>
                    <w:rPr>
                      <w:rFonts w:hint="eastAsia" w:ascii="宋体" w:hAnsi="宋体"/>
                      <w:color w:val="333333"/>
                      <w:sz w:val="18"/>
                      <w:szCs w:val="18"/>
                    </w:rPr>
                    <w:t>1.对市场需要</w:t>
                  </w:r>
                  <w:r>
                    <w:rPr>
                      <w:rFonts w:hint="eastAsia" w:ascii="宋体" w:hAnsi="宋体"/>
                      <w:color w:val="333333"/>
                      <w:sz w:val="18"/>
                      <w:szCs w:val="18"/>
                      <w:lang w:eastAsia="zh-CN"/>
                    </w:rPr>
                    <w:t>服务</w:t>
                  </w:r>
                  <w:r>
                    <w:rPr>
                      <w:rFonts w:hint="eastAsia" w:ascii="宋体" w:hAnsi="宋体"/>
                      <w:color w:val="333333"/>
                      <w:sz w:val="18"/>
                      <w:szCs w:val="18"/>
                    </w:rPr>
                    <w:t xml:space="preserve">的发展趋势判断失误。 </w:t>
                  </w:r>
                </w:p>
                <w:p>
                  <w:pPr>
                    <w:rPr>
                      <w:rFonts w:hint="eastAsia" w:ascii="宋体" w:hAnsi="宋体"/>
                      <w:color w:val="333333"/>
                      <w:sz w:val="18"/>
                      <w:szCs w:val="18"/>
                    </w:rPr>
                  </w:pPr>
                  <w:r>
                    <w:rPr>
                      <w:rFonts w:hint="eastAsia" w:ascii="宋体" w:hAnsi="宋体"/>
                      <w:color w:val="333333"/>
                      <w:sz w:val="18"/>
                      <w:szCs w:val="18"/>
                    </w:rPr>
                    <w:t>2.客户要求识别不完整。</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3.未能确保能够满足客户要求就签署合同。</w:t>
                  </w:r>
                </w:p>
              </w:tc>
              <w:tc>
                <w:tcPr>
                  <w:tcW w:w="4224" w:type="dxa"/>
                </w:tcPr>
                <w:p>
                  <w:pPr>
                    <w:rPr>
                      <w:rFonts w:hint="eastAsia" w:ascii="宋体" w:hAnsi="宋体"/>
                      <w:color w:val="333333"/>
                      <w:sz w:val="18"/>
                      <w:szCs w:val="18"/>
                    </w:rPr>
                  </w:pPr>
                  <w:r>
                    <w:rPr>
                      <w:rFonts w:hint="eastAsia" w:ascii="宋体" w:hAnsi="宋体"/>
                      <w:color w:val="333333"/>
                      <w:sz w:val="18"/>
                      <w:szCs w:val="18"/>
                    </w:rPr>
                    <w:t>1.对市场需求</w:t>
                  </w:r>
                  <w:r>
                    <w:rPr>
                      <w:rFonts w:hint="eastAsia" w:ascii="宋体" w:hAnsi="宋体"/>
                      <w:color w:val="333333"/>
                      <w:sz w:val="18"/>
                      <w:szCs w:val="18"/>
                      <w:lang w:eastAsia="zh-CN"/>
                    </w:rPr>
                    <w:t>服务</w:t>
                  </w:r>
                  <w:r>
                    <w:rPr>
                      <w:rFonts w:hint="eastAsia" w:ascii="宋体" w:hAnsi="宋体"/>
                      <w:color w:val="333333"/>
                      <w:sz w:val="18"/>
                      <w:szCs w:val="18"/>
                    </w:rPr>
                    <w:t>的发展趋势分析应该经过反复论证。</w:t>
                  </w:r>
                </w:p>
                <w:p>
                  <w:pPr>
                    <w:rPr>
                      <w:rFonts w:hint="eastAsia" w:ascii="宋体" w:hAnsi="宋体"/>
                      <w:color w:val="333333"/>
                      <w:sz w:val="18"/>
                      <w:szCs w:val="18"/>
                    </w:rPr>
                  </w:pPr>
                  <w:r>
                    <w:rPr>
                      <w:rFonts w:hint="eastAsia" w:ascii="宋体" w:hAnsi="宋体"/>
                      <w:color w:val="333333"/>
                      <w:sz w:val="18"/>
                      <w:szCs w:val="18"/>
                    </w:rPr>
                    <w:t xml:space="preserve">2.对客户的要求实施监视和测量。 </w:t>
                  </w:r>
                </w:p>
                <w:p>
                  <w:pPr>
                    <w:rPr>
                      <w:rFonts w:hint="eastAsia" w:ascii="宋体" w:hAnsi="宋体"/>
                      <w:color w:val="333333"/>
                      <w:sz w:val="18"/>
                      <w:szCs w:val="18"/>
                    </w:rPr>
                  </w:pPr>
                  <w:r>
                    <w:rPr>
                      <w:rFonts w:hint="eastAsia" w:ascii="宋体" w:hAnsi="宋体"/>
                      <w:color w:val="333333"/>
                      <w:sz w:val="18"/>
                      <w:szCs w:val="18"/>
                    </w:rPr>
                    <w:t>3.在确定与客户签署合同前落实合同评审事宜。</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2"/>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1"/>
              <w:tblpPr w:leftFromText="180" w:rightFromText="180" w:vertAnchor="text" w:horzAnchor="page" w:tblpX="93" w:tblpY="29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954"/>
              <w:gridCol w:w="2134"/>
              <w:gridCol w:w="108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954"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13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08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21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目标实际完成（2021.06-2021.12）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客户满意率</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≥90%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业主满意度调查</w:t>
                  </w:r>
                </w:p>
              </w:tc>
              <w:tc>
                <w:tcPr>
                  <w:tcW w:w="108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default" w:ascii="宋体" w:hAnsi="宋体" w:cs="Times New Roman"/>
                      <w:lang w:val="en-US" w:eastAsia="zh-CN"/>
                    </w:rPr>
                  </w:pPr>
                  <w:r>
                    <w:rPr>
                      <w:rFonts w:hint="eastAsia" w:ascii="宋体" w:hAnsi="宋体" w:eastAsia="宋体" w:cs="Times New Roman"/>
                      <w:sz w:val="18"/>
                      <w:szCs w:val="18"/>
                      <w:lang w:val="en-US" w:eastAsia="zh-CN"/>
                    </w:rPr>
                    <w:t>95.5</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lang w:val="en-US" w:eastAsia="zh-CN"/>
                    </w:rPr>
                    <w:t>垃圾分类</w:t>
                  </w:r>
                  <w:r>
                    <w:rPr>
                      <w:rFonts w:hint="eastAsia" w:ascii="Times New Roman" w:hAnsi="宋体" w:eastAsia="宋体" w:cs="Times New Roman"/>
                      <w:sz w:val="18"/>
                      <w:szCs w:val="18"/>
                    </w:rPr>
                    <w:t>检查合格率</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≥90%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检查数据统计</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97.4</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投诉处理率</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100%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投诉处理回访信息统计</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100</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固废合理处理率</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100%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检查数据统计</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100</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火灾事故</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交通事故</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因工伤亡事故</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3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08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11"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bl>
          <w:p>
            <w:pPr>
              <w:pStyle w:val="3"/>
              <w:jc w:val="both"/>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lang w:val="en-US" w:eastAsia="zh-CN"/>
              </w:rPr>
              <w:t>垃圾桶</w:t>
            </w:r>
            <w:r>
              <w:rPr>
                <w:rFonts w:hint="eastAsia"/>
                <w:color w:val="auto"/>
                <w:u w:val="single"/>
                <w:lang w:eastAsia="zh-CN"/>
              </w:rPr>
              <w:t>、</w:t>
            </w:r>
            <w:r>
              <w:rPr>
                <w:rFonts w:hint="eastAsia"/>
                <w:color w:val="auto"/>
                <w:u w:val="single"/>
                <w:lang w:val="en-US" w:eastAsia="zh-CN"/>
              </w:rPr>
              <w:t>四分类垃圾车、业务操作系统</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lang w:val="en-US" w:eastAsia="zh-CN"/>
              </w:rPr>
              <w:t xml:space="preserve">  台秤</w:t>
            </w:r>
            <w:r>
              <w:rPr>
                <w:rFonts w:hint="eastAsia"/>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A8"/>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9"/>
              <w:gridCol w:w="138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1388"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suppressLineNumbers w:val="0"/>
                    <w:spacing w:before="0" w:beforeAutospacing="0" w:after="0" w:afterAutospacing="0"/>
                    <w:ind w:left="0" w:right="0"/>
                    <w:jc w:val="left"/>
                    <w:rPr>
                      <w:rFonts w:hint="eastAsia"/>
                    </w:rPr>
                  </w:pPr>
                  <w:r>
                    <w:rPr>
                      <w:sz w:val="20"/>
                    </w:rPr>
                    <w:t>再生资源销售、城市和农村生活垃圾分类</w:t>
                  </w:r>
                </w:p>
              </w:tc>
              <w:tc>
                <w:tcPr>
                  <w:tcW w:w="1388"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定投督导</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u w:val="single"/>
                <w:lang w:val="en-US" w:eastAsia="zh-CN"/>
              </w:rPr>
              <w:t>销售</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2021年</w:t>
            </w:r>
            <w:r>
              <w:rPr>
                <w:rFonts w:hint="eastAsia"/>
                <w:lang w:val="en-US" w:eastAsia="zh-CN"/>
              </w:rPr>
              <w:t>12</w:t>
            </w:r>
            <w:r>
              <w:rPr>
                <w:rFonts w:hint="eastAsia"/>
                <w:lang w:eastAsia="zh-CN"/>
              </w:rPr>
              <w:t>月</w:t>
            </w:r>
            <w:r>
              <w:rPr>
                <w:rFonts w:hint="eastAsia"/>
                <w:lang w:val="en-US" w:eastAsia="zh-CN"/>
              </w:rPr>
              <w:t>15-16</w:t>
            </w:r>
            <w:r>
              <w:rPr>
                <w:rFonts w:hint="eastAsia"/>
                <w:lang w:eastAsia="zh-CN"/>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2021年12月29日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929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9296"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224"/>
              <w:gridCol w:w="342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pct"/>
                  <w:noWrap w:val="0"/>
                  <w:vAlign w:val="top"/>
                </w:tcPr>
                <w:p>
                  <w:pPr>
                    <w:jc w:val="center"/>
                    <w:rPr>
                      <w:rFonts w:ascii="楷体" w:hAnsi="楷体" w:eastAsia="楷体"/>
                    </w:rPr>
                  </w:pPr>
                  <w:r>
                    <w:rPr>
                      <w:rFonts w:hint="eastAsia" w:ascii="楷体" w:hAnsi="楷体" w:eastAsia="楷体"/>
                    </w:rPr>
                    <w:t>相关方</w:t>
                  </w:r>
                </w:p>
              </w:tc>
              <w:tc>
                <w:tcPr>
                  <w:tcW w:w="1777" w:type="pct"/>
                  <w:noWrap w:val="0"/>
                  <w:vAlign w:val="top"/>
                </w:tcPr>
                <w:p>
                  <w:pPr>
                    <w:jc w:val="center"/>
                    <w:rPr>
                      <w:rFonts w:ascii="楷体" w:hAnsi="楷体" w:eastAsia="楷体"/>
                    </w:rPr>
                  </w:pPr>
                  <w:r>
                    <w:rPr>
                      <w:rFonts w:hint="eastAsia" w:ascii="楷体" w:hAnsi="楷体" w:eastAsia="楷体"/>
                    </w:rPr>
                    <w:t>需求及期望描述</w:t>
                  </w:r>
                </w:p>
              </w:tc>
              <w:tc>
                <w:tcPr>
                  <w:tcW w:w="1888" w:type="pct"/>
                  <w:noWrap w:val="0"/>
                  <w:vAlign w:val="top"/>
                </w:tcPr>
                <w:p>
                  <w:pPr>
                    <w:jc w:val="center"/>
                    <w:rPr>
                      <w:rFonts w:ascii="楷体" w:hAnsi="楷体" w:eastAsia="楷体"/>
                    </w:rPr>
                  </w:pPr>
                  <w:r>
                    <w:rPr>
                      <w:rFonts w:hint="eastAsia" w:ascii="楷体" w:hAnsi="楷体" w:eastAsia="楷体"/>
                    </w:rPr>
                    <w:t>应对措施</w:t>
                  </w:r>
                </w:p>
              </w:tc>
              <w:tc>
                <w:tcPr>
                  <w:tcW w:w="777" w:type="pct"/>
                  <w:noWrap w:val="0"/>
                  <w:vAlign w:val="top"/>
                </w:tcPr>
                <w:p>
                  <w:pPr>
                    <w:jc w:val="center"/>
                    <w:rPr>
                      <w:rFonts w:ascii="楷体" w:hAnsi="楷体" w:eastAsia="楷体"/>
                    </w:rPr>
                  </w:pPr>
                  <w:r>
                    <w:rPr>
                      <w:rFonts w:hint="eastAsia" w:ascii="楷体" w:hAnsi="楷体" w:eastAsia="楷体"/>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顾客（甲方）</w:t>
                  </w:r>
                </w:p>
              </w:tc>
              <w:tc>
                <w:tcPr>
                  <w:tcW w:w="1777" w:type="pct"/>
                  <w:noWrap w:val="0"/>
                  <w:vAlign w:val="center"/>
                </w:tcPr>
                <w:p>
                  <w:pPr>
                    <w:pStyle w:val="15"/>
                    <w:numPr>
                      <w:ilvl w:val="0"/>
                      <w:numId w:val="2"/>
                    </w:numPr>
                    <w:ind w:firstLineChars="0"/>
                    <w:rPr>
                      <w:rFonts w:hint="eastAsia" w:ascii="楷体" w:hAnsi="楷体" w:eastAsia="楷体"/>
                    </w:rPr>
                  </w:pPr>
                  <w:r>
                    <w:rPr>
                      <w:rFonts w:hint="eastAsia" w:ascii="楷体" w:hAnsi="楷体" w:eastAsia="楷体"/>
                    </w:rPr>
                    <w:t>建立有效的质量、环境及职业健康安全管理体系并运行；</w:t>
                  </w:r>
                </w:p>
                <w:p>
                  <w:pPr>
                    <w:pStyle w:val="15"/>
                    <w:numPr>
                      <w:ilvl w:val="0"/>
                      <w:numId w:val="2"/>
                    </w:numPr>
                    <w:ind w:firstLineChars="0"/>
                    <w:rPr>
                      <w:rFonts w:ascii="楷体" w:hAnsi="楷体" w:eastAsia="楷体"/>
                    </w:rPr>
                  </w:pPr>
                  <w:r>
                    <w:rPr>
                      <w:rFonts w:hint="eastAsia" w:ascii="楷体" w:hAnsi="楷体" w:eastAsia="楷体"/>
                    </w:rPr>
                    <w:t>持续满足合同要求的服务质量</w:t>
                  </w:r>
                </w:p>
              </w:tc>
              <w:tc>
                <w:tcPr>
                  <w:tcW w:w="1888" w:type="pct"/>
                  <w:noWrap w:val="0"/>
                  <w:vAlign w:val="center"/>
                </w:tcPr>
                <w:p>
                  <w:pPr>
                    <w:pStyle w:val="15"/>
                    <w:numPr>
                      <w:ilvl w:val="0"/>
                      <w:numId w:val="3"/>
                    </w:numPr>
                    <w:ind w:firstLineChars="0"/>
                    <w:rPr>
                      <w:rFonts w:hint="eastAsia" w:ascii="楷体" w:hAnsi="楷体" w:eastAsia="楷体"/>
                    </w:rPr>
                  </w:pPr>
                  <w:r>
                    <w:rPr>
                      <w:rFonts w:hint="eastAsia" w:ascii="楷体" w:hAnsi="楷体" w:eastAsia="楷体"/>
                    </w:rPr>
                    <w:t>在公司内部建立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管理体系，并在公司内部有效实施；</w:t>
                  </w:r>
                </w:p>
                <w:p>
                  <w:pPr>
                    <w:pStyle w:val="15"/>
                    <w:numPr>
                      <w:ilvl w:val="0"/>
                      <w:numId w:val="3"/>
                    </w:numPr>
                    <w:ind w:firstLineChars="0"/>
                    <w:rPr>
                      <w:rFonts w:ascii="楷体" w:hAnsi="楷体" w:eastAsia="楷体"/>
                    </w:rPr>
                  </w:pPr>
                  <w:r>
                    <w:rPr>
                      <w:rFonts w:hint="eastAsia" w:ascii="楷体" w:hAnsi="楷体" w:eastAsia="楷体"/>
                    </w:rPr>
                    <w:t>通过甲方要求的识别、评审及转化，建立有针对性的服务方案实现顾客（甲方）的要求及期望</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外部供方</w:t>
                  </w:r>
                </w:p>
              </w:tc>
              <w:tc>
                <w:tcPr>
                  <w:tcW w:w="1777" w:type="pct"/>
                  <w:noWrap w:val="0"/>
                  <w:vAlign w:val="center"/>
                </w:tcPr>
                <w:p>
                  <w:pPr>
                    <w:pStyle w:val="15"/>
                    <w:numPr>
                      <w:ilvl w:val="0"/>
                      <w:numId w:val="4"/>
                    </w:numPr>
                    <w:ind w:firstLineChars="0"/>
                    <w:rPr>
                      <w:rFonts w:hint="eastAsia" w:ascii="楷体" w:hAnsi="楷体" w:eastAsia="楷体"/>
                    </w:rPr>
                  </w:pPr>
                  <w:r>
                    <w:rPr>
                      <w:rFonts w:hint="eastAsia" w:ascii="楷体" w:hAnsi="楷体" w:eastAsia="楷体"/>
                    </w:rPr>
                    <w:t>稳定、持续的开展双方的业务合作；</w:t>
                  </w:r>
                </w:p>
                <w:p>
                  <w:pPr>
                    <w:pStyle w:val="15"/>
                    <w:numPr>
                      <w:ilvl w:val="0"/>
                      <w:numId w:val="4"/>
                    </w:numPr>
                    <w:ind w:firstLineChars="0"/>
                    <w:rPr>
                      <w:rFonts w:hint="eastAsia" w:ascii="楷体" w:hAnsi="楷体" w:eastAsia="楷体"/>
                    </w:rPr>
                  </w:pPr>
                  <w:r>
                    <w:rPr>
                      <w:rFonts w:hint="eastAsia" w:ascii="楷体" w:hAnsi="楷体" w:eastAsia="楷体"/>
                    </w:rPr>
                    <w:t>通过双方的深度合作降低外部供方的成本，提升供就链的持续竞争力</w:t>
                  </w:r>
                </w:p>
                <w:p>
                  <w:pPr>
                    <w:pStyle w:val="15"/>
                    <w:numPr>
                      <w:ilvl w:val="0"/>
                      <w:numId w:val="4"/>
                    </w:numPr>
                    <w:ind w:firstLineChars="0"/>
                    <w:rPr>
                      <w:rFonts w:ascii="楷体" w:hAnsi="楷体" w:eastAsia="楷体"/>
                    </w:rPr>
                  </w:pPr>
                  <w:r>
                    <w:rPr>
                      <w:rFonts w:hint="eastAsia" w:ascii="楷体" w:hAnsi="楷体" w:eastAsia="楷体"/>
                    </w:rPr>
                    <w:t>提供供方更先进、更规范化、更有竞争力的管理制度促进供方持续改善，提高供方的水平，实现真正意义上的双赢</w:t>
                  </w:r>
                </w:p>
              </w:tc>
              <w:tc>
                <w:tcPr>
                  <w:tcW w:w="1888" w:type="pct"/>
                  <w:noWrap w:val="0"/>
                  <w:vAlign w:val="center"/>
                </w:tcPr>
                <w:p>
                  <w:pPr>
                    <w:pStyle w:val="15"/>
                    <w:numPr>
                      <w:ilvl w:val="0"/>
                      <w:numId w:val="5"/>
                    </w:numPr>
                    <w:ind w:firstLineChars="0"/>
                    <w:rPr>
                      <w:rFonts w:hint="eastAsia" w:ascii="楷体" w:hAnsi="楷体" w:eastAsia="楷体"/>
                    </w:rPr>
                  </w:pPr>
                  <w:r>
                    <w:rPr>
                      <w:rFonts w:hint="eastAsia" w:ascii="楷体" w:hAnsi="楷体" w:eastAsia="楷体"/>
                    </w:rPr>
                    <w:t>持续推动一体化战略，建立与供方稳定的战略联盟关系；</w:t>
                  </w:r>
                </w:p>
                <w:p>
                  <w:pPr>
                    <w:pStyle w:val="15"/>
                    <w:numPr>
                      <w:ilvl w:val="0"/>
                      <w:numId w:val="5"/>
                    </w:numPr>
                    <w:ind w:firstLineChars="0"/>
                    <w:rPr>
                      <w:rFonts w:hint="eastAsia" w:ascii="楷体" w:hAnsi="楷体" w:eastAsia="楷体"/>
                    </w:rPr>
                  </w:pPr>
                  <w:r>
                    <w:rPr>
                      <w:rFonts w:hint="eastAsia" w:ascii="楷体" w:hAnsi="楷体" w:eastAsia="楷体"/>
                    </w:rPr>
                    <w:t>加大对供方的供货及服务质量监督力度，提升供方供货质量及服务水平，持续有效的降低供方的成本</w:t>
                  </w:r>
                </w:p>
                <w:p>
                  <w:pPr>
                    <w:pStyle w:val="15"/>
                    <w:numPr>
                      <w:ilvl w:val="0"/>
                      <w:numId w:val="5"/>
                    </w:numPr>
                    <w:ind w:firstLineChars="0"/>
                    <w:rPr>
                      <w:rFonts w:ascii="楷体" w:hAnsi="楷体" w:eastAsia="楷体"/>
                    </w:rPr>
                  </w:pPr>
                  <w:r>
                    <w:rPr>
                      <w:rFonts w:hint="eastAsia" w:ascii="楷体" w:hAnsi="楷体" w:eastAsia="楷体"/>
                    </w:rPr>
                    <w:t>通过公司建立</w:t>
                  </w:r>
                  <w:r>
                    <w:rPr>
                      <w:rFonts w:hint="eastAsia" w:ascii="楷体" w:hAnsi="楷体" w:eastAsia="楷体"/>
                      <w:lang w:eastAsia="zh-CN"/>
                    </w:rPr>
                    <w:t>ISO9001：2015</w:t>
                  </w:r>
                  <w:r>
                    <w:rPr>
                      <w:rFonts w:hint="eastAsia" w:ascii="楷体" w:hAnsi="楷体" w:eastAsia="楷体"/>
                    </w:rPr>
                    <w:t>、</w:t>
                  </w:r>
                  <w:r>
                    <w:rPr>
                      <w:rFonts w:hint="eastAsia" w:ascii="楷体" w:hAnsi="楷体" w:eastAsia="楷体"/>
                      <w:lang w:eastAsia="zh-CN"/>
                    </w:rPr>
                    <w:t>ISO14001：2015</w:t>
                  </w:r>
                  <w:r>
                    <w:rPr>
                      <w:rFonts w:hint="eastAsia" w:ascii="楷体" w:hAnsi="楷体" w:eastAsia="楷体"/>
                    </w:rPr>
                    <w:t>及</w:t>
                  </w:r>
                  <w:r>
                    <w:rPr>
                      <w:rFonts w:hint="eastAsia" w:ascii="楷体" w:hAnsi="楷体" w:eastAsia="楷体"/>
                      <w:lang w:eastAsia="zh-CN"/>
                    </w:rPr>
                    <w:t>ISO45001：2018</w:t>
                  </w:r>
                  <w:r>
                    <w:rPr>
                      <w:rFonts w:hint="eastAsia" w:ascii="楷体" w:hAnsi="楷体" w:eastAsia="楷体"/>
                    </w:rPr>
                    <w:t xml:space="preserve">管理体系，对供方持续的施加影响 </w:t>
                  </w:r>
                </w:p>
              </w:tc>
              <w:tc>
                <w:tcPr>
                  <w:tcW w:w="777" w:type="pct"/>
                  <w:noWrap w:val="0"/>
                  <w:vAlign w:val="center"/>
                </w:tcPr>
                <w:p>
                  <w:pPr>
                    <w:rPr>
                      <w:rFonts w:ascii="楷体" w:hAnsi="楷体" w:eastAsia="楷体"/>
                    </w:rPr>
                  </w:pPr>
                  <w:r>
                    <w:rPr>
                      <w:rFonts w:hint="eastAsia" w:ascii="楷体" w:hAnsi="楷体" w:eastAsia="楷体"/>
                    </w:rPr>
                    <w:t>基本按应对的措施控制管理，符合要求基本满足要求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ascii="楷体" w:hAnsi="楷体" w:eastAsia="楷体"/>
                    </w:rPr>
                  </w:pPr>
                  <w:r>
                    <w:rPr>
                      <w:rFonts w:hint="eastAsia" w:ascii="楷体" w:hAnsi="楷体" w:eastAsia="楷体"/>
                    </w:rPr>
                    <w:t>员工</w:t>
                  </w:r>
                </w:p>
              </w:tc>
              <w:tc>
                <w:tcPr>
                  <w:tcW w:w="1777" w:type="pct"/>
                  <w:noWrap w:val="0"/>
                  <w:vAlign w:val="center"/>
                </w:tcPr>
                <w:p>
                  <w:pPr>
                    <w:pStyle w:val="15"/>
                    <w:numPr>
                      <w:ilvl w:val="0"/>
                      <w:numId w:val="6"/>
                    </w:numPr>
                    <w:ind w:firstLineChars="0"/>
                    <w:rPr>
                      <w:rFonts w:hint="eastAsia" w:ascii="楷体" w:hAnsi="楷体" w:eastAsia="楷体"/>
                    </w:rPr>
                  </w:pPr>
                  <w:r>
                    <w:rPr>
                      <w:rFonts w:hint="eastAsia" w:ascii="楷体" w:hAnsi="楷体" w:eastAsia="楷体"/>
                    </w:rPr>
                    <w:t>个人能力及职位得到提升；</w:t>
                  </w:r>
                </w:p>
                <w:p>
                  <w:pPr>
                    <w:pStyle w:val="15"/>
                    <w:numPr>
                      <w:ilvl w:val="0"/>
                      <w:numId w:val="6"/>
                    </w:numPr>
                    <w:ind w:firstLineChars="0"/>
                    <w:rPr>
                      <w:rFonts w:hint="eastAsia" w:ascii="楷体" w:hAnsi="楷体" w:eastAsia="楷体"/>
                    </w:rPr>
                  </w:pPr>
                  <w:r>
                    <w:rPr>
                      <w:rFonts w:hint="eastAsia" w:ascii="楷体" w:hAnsi="楷体" w:eastAsia="楷体"/>
                    </w:rPr>
                    <w:t>福利措施的持续满足</w:t>
                  </w:r>
                </w:p>
                <w:p>
                  <w:pPr>
                    <w:pStyle w:val="15"/>
                    <w:numPr>
                      <w:ilvl w:val="0"/>
                      <w:numId w:val="6"/>
                    </w:numPr>
                    <w:ind w:firstLineChars="0"/>
                    <w:rPr>
                      <w:rFonts w:ascii="楷体" w:hAnsi="楷体" w:eastAsia="楷体"/>
                    </w:rPr>
                  </w:pPr>
                  <w:r>
                    <w:rPr>
                      <w:rFonts w:hint="eastAsia" w:ascii="楷体" w:hAnsi="楷体" w:eastAsia="楷体"/>
                    </w:rPr>
                    <w:t>职业健康防护的落实</w:t>
                  </w:r>
                </w:p>
              </w:tc>
              <w:tc>
                <w:tcPr>
                  <w:tcW w:w="1888" w:type="pct"/>
                  <w:noWrap w:val="0"/>
                  <w:vAlign w:val="center"/>
                </w:tcPr>
                <w:p>
                  <w:pPr>
                    <w:pStyle w:val="15"/>
                    <w:numPr>
                      <w:ilvl w:val="0"/>
                      <w:numId w:val="7"/>
                    </w:numPr>
                    <w:ind w:firstLineChars="0"/>
                    <w:rPr>
                      <w:rFonts w:hint="eastAsia" w:ascii="楷体" w:hAnsi="楷体" w:eastAsia="楷体"/>
                    </w:rPr>
                  </w:pPr>
                  <w:r>
                    <w:rPr>
                      <w:rFonts w:hint="eastAsia" w:ascii="楷体" w:hAnsi="楷体" w:eastAsia="楷体"/>
                    </w:rPr>
                    <w:t>建立规范化的人力资源及培训机制，构建更加公平、透明、规范化的岗位竞争机制；</w:t>
                  </w:r>
                </w:p>
                <w:p>
                  <w:pPr>
                    <w:pStyle w:val="15"/>
                    <w:numPr>
                      <w:ilvl w:val="0"/>
                      <w:numId w:val="7"/>
                    </w:numPr>
                    <w:ind w:firstLineChars="0"/>
                    <w:rPr>
                      <w:rFonts w:hint="eastAsia" w:ascii="楷体" w:hAnsi="楷体" w:eastAsia="楷体"/>
                    </w:rPr>
                  </w:pPr>
                  <w:r>
                    <w:rPr>
                      <w:rFonts w:hint="eastAsia" w:ascii="楷体" w:hAnsi="楷体" w:eastAsia="楷体"/>
                    </w:rPr>
                    <w:t>持续落实劳保用品、过节费、确保月休等福利措施的实施；</w:t>
                  </w:r>
                </w:p>
                <w:p>
                  <w:pPr>
                    <w:pStyle w:val="15"/>
                    <w:numPr>
                      <w:ilvl w:val="0"/>
                      <w:numId w:val="7"/>
                    </w:numPr>
                    <w:ind w:firstLineChars="0"/>
                    <w:rPr>
                      <w:rFonts w:hint="eastAsia" w:ascii="楷体" w:hAnsi="楷体" w:eastAsia="楷体"/>
                    </w:rPr>
                  </w:pPr>
                  <w:r>
                    <w:rPr>
                      <w:rFonts w:hint="eastAsia" w:ascii="楷体" w:hAnsi="楷体" w:eastAsia="楷体"/>
                    </w:rPr>
                    <w:t>建立员工健康检查机制，每年安排员工体检；</w:t>
                  </w:r>
                </w:p>
                <w:p>
                  <w:pPr>
                    <w:pStyle w:val="15"/>
                    <w:numPr>
                      <w:ilvl w:val="0"/>
                      <w:numId w:val="7"/>
                    </w:numPr>
                    <w:ind w:firstLineChars="0"/>
                    <w:rPr>
                      <w:rFonts w:ascii="楷体" w:hAnsi="楷体" w:eastAsia="楷体"/>
                    </w:rPr>
                  </w:pPr>
                  <w:r>
                    <w:rPr>
                      <w:rFonts w:hint="eastAsia" w:ascii="楷体" w:hAnsi="楷体" w:eastAsia="楷体"/>
                    </w:rPr>
                    <w:t>确保清洁员工社保及团队意外险的落实到位</w:t>
                  </w:r>
                </w:p>
              </w:tc>
              <w:tc>
                <w:tcPr>
                  <w:tcW w:w="777" w:type="pct"/>
                  <w:noWrap w:val="0"/>
                  <w:vAlign w:val="center"/>
                </w:tcPr>
                <w:p>
                  <w:pPr>
                    <w:rPr>
                      <w:rFonts w:ascii="楷体" w:hAnsi="楷体" w:eastAsia="楷体"/>
                    </w:rPr>
                  </w:pPr>
                  <w:r>
                    <w:rPr>
                      <w:rFonts w:hint="eastAsia" w:ascii="楷体" w:hAnsi="楷体" w:eastAsia="楷体"/>
                    </w:rPr>
                    <w:t>基本按应对的措施控制管理，基本满足要求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环保局</w:t>
                  </w:r>
                </w:p>
              </w:tc>
              <w:tc>
                <w:tcPr>
                  <w:tcW w:w="1777" w:type="pct"/>
                  <w:noWrap w:val="0"/>
                  <w:vAlign w:val="center"/>
                </w:tcPr>
                <w:p>
                  <w:pPr>
                    <w:rPr>
                      <w:rFonts w:ascii="楷体" w:hAnsi="楷体" w:eastAsia="楷体"/>
                    </w:rPr>
                  </w:pPr>
                  <w:r>
                    <w:rPr>
                      <w:rFonts w:hint="eastAsia" w:ascii="楷体" w:hAnsi="楷体" w:eastAsia="楷体"/>
                    </w:rPr>
                    <w:t>符合环境法律法规要求</w:t>
                  </w:r>
                </w:p>
              </w:tc>
              <w:tc>
                <w:tcPr>
                  <w:tcW w:w="1888" w:type="pct"/>
                  <w:noWrap w:val="0"/>
                  <w:vAlign w:val="center"/>
                </w:tcPr>
                <w:p>
                  <w:pPr>
                    <w:rPr>
                      <w:rFonts w:ascii="楷体" w:hAnsi="楷体" w:eastAsia="楷体"/>
                    </w:rPr>
                  </w:pPr>
                  <w:r>
                    <w:rPr>
                      <w:rFonts w:hint="eastAsia" w:ascii="楷体" w:hAnsi="楷体" w:eastAsia="楷体"/>
                    </w:rPr>
                    <w:t>建立</w:t>
                  </w:r>
                  <w:r>
                    <w:rPr>
                      <w:rFonts w:hint="eastAsia" w:ascii="楷体" w:hAnsi="楷体" w:eastAsia="楷体"/>
                      <w:lang w:eastAsia="zh-CN"/>
                    </w:rPr>
                    <w:t>ISO14001：2015</w:t>
                  </w:r>
                  <w:r>
                    <w:rPr>
                      <w:rFonts w:hint="eastAsia" w:ascii="楷体" w:hAnsi="楷体" w:eastAsia="楷体"/>
                    </w:rPr>
                    <w:t>管理体系并在公司实施，按要求力所能及的做好环境保护工作，如垃圾分类、废弃溶剂瓶或器皿收集处理、节能降耗等</w:t>
                  </w:r>
                </w:p>
              </w:tc>
              <w:tc>
                <w:tcPr>
                  <w:tcW w:w="777" w:type="pct"/>
                  <w:noWrap w:val="0"/>
                  <w:vAlign w:val="center"/>
                </w:tcPr>
                <w:p>
                  <w:pPr>
                    <w:rPr>
                      <w:rFonts w:ascii="楷体" w:hAnsi="楷体" w:eastAsia="楷体"/>
                    </w:rPr>
                  </w:pPr>
                  <w:r>
                    <w:rPr>
                      <w:rFonts w:hint="eastAsia" w:ascii="楷体" w:hAnsi="楷体" w:eastAsia="楷体"/>
                    </w:rPr>
                    <w:t>基本有按标准要求实施，基本满足要求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rPr>
                      <w:rFonts w:hint="eastAsia" w:ascii="楷体" w:hAnsi="楷体" w:eastAsia="楷体"/>
                      <w:lang w:eastAsia="zh-CN"/>
                    </w:rPr>
                  </w:pPr>
                  <w:r>
                    <w:rPr>
                      <w:rFonts w:hint="eastAsia" w:ascii="楷体" w:hAnsi="楷体" w:eastAsia="楷体"/>
                      <w:lang w:val="en-US" w:eastAsia="zh-CN"/>
                    </w:rPr>
                    <w:t>安监局</w:t>
                  </w:r>
                </w:p>
              </w:tc>
              <w:tc>
                <w:tcPr>
                  <w:tcW w:w="1777" w:type="pct"/>
                  <w:noWrap w:val="0"/>
                  <w:vAlign w:val="center"/>
                </w:tcPr>
                <w:p>
                  <w:pPr>
                    <w:pStyle w:val="15"/>
                    <w:numPr>
                      <w:ilvl w:val="0"/>
                      <w:numId w:val="8"/>
                    </w:numPr>
                    <w:ind w:firstLineChars="0"/>
                    <w:rPr>
                      <w:rFonts w:hint="eastAsia" w:ascii="楷体" w:hAnsi="楷体" w:eastAsia="楷体"/>
                    </w:rPr>
                  </w:pPr>
                  <w:r>
                    <w:rPr>
                      <w:rFonts w:hint="eastAsia" w:ascii="楷体" w:hAnsi="楷体" w:eastAsia="楷体"/>
                    </w:rPr>
                    <w:t>防止清洁药品泄漏伤害；</w:t>
                  </w:r>
                </w:p>
                <w:p>
                  <w:pPr>
                    <w:pStyle w:val="15"/>
                    <w:numPr>
                      <w:ilvl w:val="0"/>
                      <w:numId w:val="8"/>
                    </w:numPr>
                    <w:ind w:firstLineChars="0"/>
                    <w:rPr>
                      <w:rFonts w:ascii="楷体" w:hAnsi="楷体" w:eastAsia="楷体"/>
                    </w:rPr>
                  </w:pPr>
                  <w:r>
                    <w:rPr>
                      <w:rFonts w:hint="eastAsia" w:ascii="楷体" w:hAnsi="楷体" w:eastAsia="楷体"/>
                    </w:rPr>
                    <w:t>防止高处作业摔伤伤害等</w:t>
                  </w:r>
                </w:p>
              </w:tc>
              <w:tc>
                <w:tcPr>
                  <w:tcW w:w="1888" w:type="pct"/>
                  <w:noWrap w:val="0"/>
                  <w:vAlign w:val="center"/>
                </w:tcPr>
                <w:p>
                  <w:pPr>
                    <w:rPr>
                      <w:rFonts w:ascii="楷体" w:hAnsi="楷体" w:eastAsia="楷体"/>
                    </w:rPr>
                  </w:pPr>
                  <w:r>
                    <w:rPr>
                      <w:rFonts w:hint="eastAsia" w:ascii="楷体" w:hAnsi="楷体" w:eastAsia="楷体"/>
                    </w:rPr>
                    <w:t>建立防泄漏及高处作业摔伤伤害应急预案并根据实际情况定期演练等</w:t>
                  </w:r>
                </w:p>
              </w:tc>
              <w:tc>
                <w:tcPr>
                  <w:tcW w:w="777" w:type="pct"/>
                  <w:noWrap w:val="0"/>
                  <w:vAlign w:val="center"/>
                </w:tcPr>
                <w:p>
                  <w:pPr>
                    <w:rPr>
                      <w:rFonts w:ascii="楷体" w:hAnsi="楷体" w:eastAsia="楷体"/>
                    </w:rPr>
                  </w:pPr>
                  <w:r>
                    <w:rPr>
                      <w:rFonts w:hint="eastAsia" w:ascii="楷体" w:hAnsi="楷体" w:eastAsia="楷体"/>
                    </w:rPr>
                    <w:t>有按要求建立应急预案等基本满足要求，</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A3"/>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A3"/>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服务至上，诚信第一；规范管理，遵纪守法；预防污染，保护环境；保障安全，持续改进。 。</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hint="eastAsia" w:ascii="宋体" w:hAnsi="宋体"/>
                      <w:color w:val="333333"/>
                      <w:sz w:val="18"/>
                      <w:szCs w:val="18"/>
                    </w:rPr>
                  </w:pPr>
                  <w:r>
                    <w:rPr>
                      <w:rFonts w:hint="eastAsia" w:ascii="宋体" w:hAnsi="宋体"/>
                      <w:color w:val="333333"/>
                      <w:sz w:val="18"/>
                      <w:szCs w:val="18"/>
                    </w:rPr>
                    <w:t>1.对市场需要</w:t>
                  </w:r>
                  <w:r>
                    <w:rPr>
                      <w:rFonts w:hint="eastAsia" w:ascii="宋体" w:hAnsi="宋体"/>
                      <w:color w:val="333333"/>
                      <w:sz w:val="18"/>
                      <w:szCs w:val="18"/>
                      <w:lang w:eastAsia="zh-CN"/>
                    </w:rPr>
                    <w:t>服务</w:t>
                  </w:r>
                  <w:r>
                    <w:rPr>
                      <w:rFonts w:hint="eastAsia" w:ascii="宋体" w:hAnsi="宋体"/>
                      <w:color w:val="333333"/>
                      <w:sz w:val="18"/>
                      <w:szCs w:val="18"/>
                    </w:rPr>
                    <w:t xml:space="preserve">的发展趋势判断失误。 </w:t>
                  </w:r>
                </w:p>
                <w:p>
                  <w:pPr>
                    <w:rPr>
                      <w:rFonts w:hint="eastAsia" w:ascii="宋体" w:hAnsi="宋体"/>
                      <w:color w:val="333333"/>
                      <w:sz w:val="18"/>
                      <w:szCs w:val="18"/>
                    </w:rPr>
                  </w:pPr>
                  <w:r>
                    <w:rPr>
                      <w:rFonts w:hint="eastAsia" w:ascii="宋体" w:hAnsi="宋体"/>
                      <w:color w:val="333333"/>
                      <w:sz w:val="18"/>
                      <w:szCs w:val="18"/>
                    </w:rPr>
                    <w:t>2.客户要求识别不完整。</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3.未能确保能够满足客户要求就签署合同。</w:t>
                  </w:r>
                </w:p>
              </w:tc>
              <w:tc>
                <w:tcPr>
                  <w:tcW w:w="4224" w:type="dxa"/>
                </w:tcPr>
                <w:p>
                  <w:pPr>
                    <w:rPr>
                      <w:rFonts w:hint="eastAsia" w:ascii="宋体" w:hAnsi="宋体"/>
                      <w:color w:val="333333"/>
                      <w:sz w:val="18"/>
                      <w:szCs w:val="18"/>
                    </w:rPr>
                  </w:pPr>
                  <w:r>
                    <w:rPr>
                      <w:rFonts w:hint="eastAsia" w:ascii="宋体" w:hAnsi="宋体"/>
                      <w:color w:val="333333"/>
                      <w:sz w:val="18"/>
                      <w:szCs w:val="18"/>
                    </w:rPr>
                    <w:t>1.对市场需求</w:t>
                  </w:r>
                  <w:r>
                    <w:rPr>
                      <w:rFonts w:hint="eastAsia" w:ascii="宋体" w:hAnsi="宋体"/>
                      <w:color w:val="333333"/>
                      <w:sz w:val="18"/>
                      <w:szCs w:val="18"/>
                      <w:lang w:eastAsia="zh-CN"/>
                    </w:rPr>
                    <w:t>服务</w:t>
                  </w:r>
                  <w:r>
                    <w:rPr>
                      <w:rFonts w:hint="eastAsia" w:ascii="宋体" w:hAnsi="宋体"/>
                      <w:color w:val="333333"/>
                      <w:sz w:val="18"/>
                      <w:szCs w:val="18"/>
                    </w:rPr>
                    <w:t>的发展趋势分析应该经过反复论证。</w:t>
                  </w:r>
                </w:p>
                <w:p>
                  <w:pPr>
                    <w:rPr>
                      <w:rFonts w:hint="eastAsia" w:ascii="宋体" w:hAnsi="宋体"/>
                      <w:color w:val="333333"/>
                      <w:sz w:val="18"/>
                      <w:szCs w:val="18"/>
                    </w:rPr>
                  </w:pPr>
                  <w:r>
                    <w:rPr>
                      <w:rFonts w:hint="eastAsia" w:ascii="宋体" w:hAnsi="宋体"/>
                      <w:color w:val="333333"/>
                      <w:sz w:val="18"/>
                      <w:szCs w:val="18"/>
                    </w:rPr>
                    <w:t xml:space="preserve">2.对客户的要求实施监视和测量。 </w:t>
                  </w:r>
                </w:p>
                <w:p>
                  <w:pPr>
                    <w:rPr>
                      <w:rFonts w:hint="eastAsia" w:ascii="宋体" w:hAnsi="宋体"/>
                      <w:color w:val="333333"/>
                      <w:sz w:val="18"/>
                      <w:szCs w:val="18"/>
                    </w:rPr>
                  </w:pPr>
                  <w:r>
                    <w:rPr>
                      <w:rFonts w:hint="eastAsia" w:ascii="宋体" w:hAnsi="宋体"/>
                      <w:color w:val="333333"/>
                      <w:sz w:val="18"/>
                      <w:szCs w:val="18"/>
                    </w:rPr>
                    <w:t>3.在确定与客户签署合同前落实合同评审事宜。</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A3"/>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A3"/>
            </w: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1"/>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004"/>
              <w:gridCol w:w="2246"/>
              <w:gridCol w:w="1145"/>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1004"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24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145"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327"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目标实际完成（2021.06-2021.12）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固废合理处理率</w:t>
                  </w:r>
                </w:p>
              </w:tc>
              <w:tc>
                <w:tcPr>
                  <w:tcW w:w="100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100%</w:t>
                  </w:r>
                </w:p>
              </w:tc>
              <w:tc>
                <w:tcPr>
                  <w:tcW w:w="2246"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检查数据统计</w:t>
                  </w:r>
                </w:p>
              </w:tc>
              <w:tc>
                <w:tcPr>
                  <w:tcW w:w="1145"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327"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100</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火灾事故</w:t>
                  </w:r>
                </w:p>
              </w:tc>
              <w:tc>
                <w:tcPr>
                  <w:tcW w:w="100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246"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145"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327"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垃圾桶、四分类垃圾车、业务操作系统</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1"/>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46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468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火灾</w:t>
                  </w:r>
                </w:p>
              </w:tc>
              <w:tc>
                <w:tcPr>
                  <w:tcW w:w="246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highlight w:val="none"/>
                      <w:lang w:val="en-US"/>
                    </w:rPr>
                  </w:pPr>
                  <w:r>
                    <w:rPr>
                      <w:rFonts w:hint="eastAsia"/>
                      <w:highlight w:val="none"/>
                      <w:lang w:val="en-US" w:eastAsia="zh-CN"/>
                    </w:rPr>
                    <w:t>固体废弃物排放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正常 </w:t>
                  </w:r>
                  <w:r>
                    <w:rPr>
                      <w:rFonts w:hint="default"/>
                      <w:color w:val="000000"/>
                      <w:highlight w:val="none"/>
                      <w:lang w:val="en-US" w:eastAsia="zh-CN"/>
                    </w:rPr>
                    <w:sym w:font="Wingdings" w:char="00A8"/>
                  </w:r>
                  <w:r>
                    <w:rPr>
                      <w:rFonts w:hint="eastAsia"/>
                      <w:color w:val="000000"/>
                      <w:highlight w:val="none"/>
                      <w:lang w:val="en-US" w:eastAsia="zh-CN"/>
                    </w:rPr>
                    <w:t xml:space="preserve">异常 </w:t>
                  </w:r>
                  <w:r>
                    <w:rPr>
                      <w:rFonts w:hint="default"/>
                      <w:color w:val="000000"/>
                      <w:highlight w:val="none"/>
                      <w:lang w:val="en-US" w:eastAsia="zh-CN"/>
                    </w:rPr>
                    <w:sym w:font="Wingdings" w:char="00A8"/>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rPr>
                  </w:pPr>
                  <w:r>
                    <w:rPr>
                      <w:rFonts w:hint="eastAsia"/>
                      <w:lang w:val="en-US" w:eastAsia="zh-CN"/>
                    </w:rPr>
                    <w:t>能源/资源消耗</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管理方案/运行控制 </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color w:val="auto"/>
              </w:rPr>
            </w:pPr>
            <w:r>
              <w:rPr>
                <w:rFonts w:hint="eastAsia"/>
                <w:color w:val="auto"/>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3</w:t>
            </w:r>
            <w:r>
              <w:rPr>
                <w:rFonts w:hint="eastAsia"/>
                <w:u w:val="single"/>
                <w:lang w:eastAsia="zh-CN"/>
              </w:rPr>
              <w:t>月</w:t>
            </w:r>
            <w:r>
              <w:rPr>
                <w:rFonts w:hint="eastAsia"/>
                <w:u w:val="single"/>
                <w:lang w:val="en-US" w:eastAsia="zh-CN"/>
              </w:rPr>
              <w:t>11</w:t>
            </w:r>
            <w:r>
              <w:rPr>
                <w:rFonts w:hint="eastAsia"/>
                <w:u w:val="single"/>
                <w:lang w:eastAsia="zh-CN"/>
              </w:rPr>
              <w:t>号</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9296"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highlight w:val="none"/>
                <w:u w:val="single"/>
                <w:vertAlign w:val="baseline"/>
                <w:lang w:val="en-US" w:eastAsia="zh-CN"/>
              </w:rPr>
              <w:t>2022年1月15号</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lang w:eastAsia="zh-CN"/>
              </w:rPr>
              <w:t>2021年</w:t>
            </w:r>
            <w:r>
              <w:rPr>
                <w:rFonts w:hint="eastAsia"/>
                <w:color w:val="000000"/>
                <w:szCs w:val="21"/>
                <w:u w:val="single"/>
                <w:lang w:val="en-US" w:eastAsia="zh-CN"/>
              </w:rPr>
              <w:t>12</w:t>
            </w:r>
            <w:r>
              <w:rPr>
                <w:rFonts w:hint="eastAsia"/>
                <w:color w:val="000000"/>
                <w:szCs w:val="21"/>
                <w:u w:val="single"/>
                <w:lang w:eastAsia="zh-CN"/>
              </w:rPr>
              <w:t>月</w:t>
            </w:r>
            <w:r>
              <w:rPr>
                <w:rFonts w:hint="eastAsia"/>
                <w:color w:val="000000"/>
                <w:szCs w:val="21"/>
                <w:u w:val="single"/>
                <w:lang w:val="en-US" w:eastAsia="zh-CN"/>
              </w:rPr>
              <w:t>15-16</w:t>
            </w:r>
            <w:r>
              <w:rPr>
                <w:rFonts w:hint="eastAsia"/>
                <w:color w:val="000000"/>
                <w:szCs w:val="21"/>
                <w:u w:val="single"/>
                <w:lang w:eastAsia="zh-CN"/>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2021年12月29日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05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5055" w:type="dxa"/>
                  <w:vAlign w:val="center"/>
                </w:tcPr>
                <w:p>
                  <w:pPr>
                    <w:jc w:val="center"/>
                  </w:pPr>
                  <w:r>
                    <w:rPr>
                      <w:rFonts w:hint="eastAsia"/>
                    </w:rPr>
                    <w:t>重要的相关方需求和希望（不必全选）</w:t>
                  </w:r>
                </w:p>
              </w:tc>
              <w:tc>
                <w:tcPr>
                  <w:tcW w:w="234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5055" w:type="dxa"/>
                </w:tcPr>
                <w:p>
                  <w:r>
                    <w:rPr>
                      <w:rFonts w:hint="eastAsia"/>
                    </w:rPr>
                    <w:t>☑遵守职业健康安全相关的法律法规</w:t>
                  </w:r>
                </w:p>
                <w:p>
                  <w:r>
                    <w:rPr>
                      <w:rFonts w:hint="eastAsia"/>
                    </w:rPr>
                    <w:t>□</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5055" w:type="dxa"/>
                </w:tcPr>
                <w:p>
                  <w:r>
                    <w:rPr>
                      <w:rFonts w:hint="eastAsia"/>
                    </w:rPr>
                    <w:t>☑组织的持续经营</w:t>
                  </w:r>
                </w:p>
                <w:p>
                  <w:r>
                    <w:rPr>
                      <w:rFonts w:hint="eastAsia"/>
                    </w:rPr>
                    <w:t>☑明示采购的职业健康安全要求</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5055" w:type="dxa"/>
                </w:tcPr>
                <w:p>
                  <w:pPr>
                    <w:ind w:left="210" w:hanging="210" w:hangingChars="100"/>
                  </w:pPr>
                  <w:r>
                    <w:rPr>
                      <w:rFonts w:hint="eastAsia"/>
                    </w:rPr>
                    <w:t>☑不因职业健康安全问题影响双方合约的履行，按时按质按量交付产品或服务；</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5055"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2"/>
                    <w:rPr>
                      <w:rFonts w:hint="eastAsia" w:eastAsia="宋体"/>
                      <w:color w:val="auto"/>
                      <w:lang w:eastAsia="zh-CN"/>
                    </w:rPr>
                  </w:pPr>
                  <w:r>
                    <w:rPr>
                      <w:rFonts w:hint="eastAsia"/>
                      <w:color w:val="auto"/>
                    </w:rPr>
                    <w:t>☑</w:t>
                  </w:r>
                  <w:r>
                    <w:rPr>
                      <w:rFonts w:hint="eastAsia"/>
                      <w:color w:val="auto"/>
                      <w:lang w:eastAsia="zh-CN"/>
                    </w:rPr>
                    <w:t>清洁生产</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5055" w:type="dxa"/>
                </w:tcPr>
                <w:p>
                  <w:pPr>
                    <w:rPr>
                      <w:rFonts w:hint="eastAsia"/>
                      <w:color w:val="auto"/>
                      <w:lang w:eastAsia="zh-CN"/>
                    </w:rPr>
                  </w:pPr>
                  <w:r>
                    <w:rPr>
                      <w:rFonts w:hint="eastAsia"/>
                      <w:color w:val="auto"/>
                      <w:lang w:eastAsia="zh-CN"/>
                    </w:rPr>
                    <w:t>☑管理体系的有效性、适宜性</w:t>
                  </w:r>
                </w:p>
                <w:p>
                  <w:pPr>
                    <w:pStyle w:val="2"/>
                    <w:rPr>
                      <w:rFonts w:hint="eastAsia"/>
                      <w:color w:val="auto"/>
                      <w:lang w:eastAsia="zh-CN"/>
                    </w:rPr>
                  </w:pPr>
                  <w:r>
                    <w:rPr>
                      <w:rFonts w:hint="eastAsia"/>
                      <w:color w:val="auto"/>
                      <w:lang w:eastAsia="zh-CN"/>
                    </w:rPr>
                    <w:t>☑持续改进</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5055" w:type="dxa"/>
                </w:tcPr>
                <w:p>
                  <w:pPr>
                    <w:rPr>
                      <w:color w:val="auto"/>
                    </w:rPr>
                  </w:pPr>
                  <w:r>
                    <w:rPr>
                      <w:rFonts w:hint="eastAsia"/>
                      <w:color w:val="auto"/>
                    </w:rPr>
                    <w:t>□</w:t>
                  </w:r>
                </w:p>
              </w:tc>
              <w:tc>
                <w:tcPr>
                  <w:tcW w:w="234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5055" w:type="dxa"/>
                </w:tcPr>
                <w:p>
                  <w:pPr>
                    <w:rPr>
                      <w:color w:val="auto"/>
                    </w:rPr>
                  </w:pPr>
                </w:p>
              </w:tc>
              <w:tc>
                <w:tcPr>
                  <w:tcW w:w="234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A3"/>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A3"/>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A3"/>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 xml:space="preserve">服务至上，诚信第一；规范管理，遵纪守法；预防污染，保护环境；保障安全，持续改进。 </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田泽良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drawing>
                <wp:inline distT="0" distB="0" distL="114300" distR="114300">
                  <wp:extent cx="5181600" cy="16065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181600" cy="160655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A3"/>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sym w:font="Wingdings 2" w:char="00A3"/>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A3"/>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1"/>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983"/>
              <w:gridCol w:w="2199"/>
              <w:gridCol w:w="1121"/>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983"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199"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12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2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目标实际完成（2021.06-2021.12）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火灾事故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交通事故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因工伤亡事故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Times New Roman" w:hAnsi="宋体" w:eastAsia="宋体" w:cs="Times New Roman"/>
                      <w:sz w:val="18"/>
                      <w:szCs w:val="18"/>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Times New Roman" w:hAnsi="宋体" w:eastAsia="宋体" w:cs="Times New Roman"/>
                      <w:sz w:val="18"/>
                      <w:szCs w:val="18"/>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Times New Roman"/>
                      <w:sz w:val="18"/>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垃圾桶、四分类垃圾车、业务操作系统</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drawing>
                <wp:inline distT="0" distB="0" distL="114300" distR="114300">
                  <wp:extent cx="5181600" cy="16065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181600" cy="160655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2022年3月11号</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highlight w:val="none"/>
                <w:u w:val="single"/>
                <w:vertAlign w:val="baseline"/>
                <w:lang w:val="en-US" w:eastAsia="zh-CN"/>
              </w:rPr>
              <w:t>2022年1月15号</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u w:val="singl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在职（定期）</w:t>
            </w:r>
          </w:p>
          <w:p>
            <w:pPr>
              <w:rPr>
                <w:rFonts w:hint="eastAsia"/>
                <w:color w:val="auto"/>
                <w:szCs w:val="18"/>
                <w:highlight w:val="none"/>
                <w:lang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健康</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p>
          <w:p>
            <w:pPr>
              <w:numPr>
                <w:ilvl w:val="0"/>
                <w:numId w:val="9"/>
              </w:numPr>
              <w:spacing w:line="280" w:lineRule="exact"/>
              <w:rPr>
                <w:rFonts w:hint="eastAsia"/>
                <w:color w:val="FF0000"/>
                <w:lang w:val="en-US" w:eastAsia="zh-CN"/>
              </w:rPr>
            </w:pPr>
            <w:r>
              <w:rPr>
                <w:rFonts w:hint="eastAsia"/>
                <w:color w:val="FF0000"/>
                <w:lang w:val="en-US" w:eastAsia="zh-CN"/>
              </w:rPr>
              <w:t>查：陆月仙，体检日期：2021-2-26，体检单位：萧山区靖江街道社区卫生服务中心，体检结果：无明显异常；</w:t>
            </w:r>
          </w:p>
          <w:p>
            <w:pPr>
              <w:numPr>
                <w:ilvl w:val="0"/>
                <w:numId w:val="0"/>
              </w:numPr>
              <w:spacing w:line="280" w:lineRule="exact"/>
              <w:rPr>
                <w:rFonts w:hint="eastAsia"/>
                <w:color w:val="FF0000"/>
                <w:lang w:val="en-US" w:eastAsia="zh-CN"/>
              </w:rPr>
            </w:pPr>
            <w:r>
              <w:rPr>
                <w:rFonts w:hint="eastAsia"/>
                <w:color w:val="FF0000"/>
                <w:lang w:val="en-US" w:eastAsia="zh-CN"/>
              </w:rPr>
              <w:t>查：高玉英，体检日期：2021-2-22，体检单位：萧山区靖江街道社区卫生服务中心，体检结果：无明显异常；</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u w:val="single"/>
                <w:lang w:eastAsia="zh-CN"/>
              </w:rPr>
              <w:t>2021年</w:t>
            </w:r>
            <w:r>
              <w:rPr>
                <w:rFonts w:hint="eastAsia"/>
                <w:color w:val="000000"/>
                <w:szCs w:val="21"/>
                <w:u w:val="single"/>
                <w:lang w:val="en-US" w:eastAsia="zh-CN"/>
              </w:rPr>
              <w:t>12</w:t>
            </w:r>
            <w:r>
              <w:rPr>
                <w:rFonts w:hint="eastAsia"/>
                <w:color w:val="000000"/>
                <w:szCs w:val="21"/>
                <w:u w:val="single"/>
                <w:lang w:eastAsia="zh-CN"/>
              </w:rPr>
              <w:t>月</w:t>
            </w:r>
            <w:r>
              <w:rPr>
                <w:rFonts w:hint="eastAsia"/>
                <w:color w:val="000000"/>
                <w:szCs w:val="21"/>
                <w:u w:val="single"/>
                <w:lang w:val="en-US" w:eastAsia="zh-CN"/>
              </w:rPr>
              <w:t>15-16</w:t>
            </w:r>
            <w:r>
              <w:rPr>
                <w:rFonts w:hint="eastAsia"/>
                <w:color w:val="000000"/>
                <w:szCs w:val="21"/>
                <w:u w:val="single"/>
                <w:lang w:eastAsia="zh-CN"/>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2021年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29</w:t>
            </w:r>
            <w:r>
              <w:rPr>
                <w:rFonts w:hint="eastAsia"/>
                <w:color w:val="000000"/>
                <w:szCs w:val="18"/>
                <w:u w:val="singl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bookmarkStart w:id="34" w:name="_GoBack"/>
            <w:bookmarkEnd w:id="34"/>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36EF71E"/>
    <w:multiLevelType w:val="singleLevel"/>
    <w:tmpl w:val="136EF71E"/>
    <w:lvl w:ilvl="0" w:tentative="0">
      <w:start w:val="13"/>
      <w:numFmt w:val="decimal"/>
      <w:suff w:val="nothing"/>
      <w:lvlText w:val="%1）"/>
      <w:lvlJc w:val="left"/>
    </w:lvl>
  </w:abstractNum>
  <w:abstractNum w:abstractNumId="2">
    <w:nsid w:val="1CAF0B4A"/>
    <w:multiLevelType w:val="multilevel"/>
    <w:tmpl w:val="1CAF0B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FB0934"/>
    <w:multiLevelType w:val="multilevel"/>
    <w:tmpl w:val="2EFB09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255097"/>
    <w:multiLevelType w:val="multilevel"/>
    <w:tmpl w:val="33255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2E67B3"/>
    <w:multiLevelType w:val="multilevel"/>
    <w:tmpl w:val="4F2E67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70BEC"/>
    <w:multiLevelType w:val="multilevel"/>
    <w:tmpl w:val="51770B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0F734F"/>
    <w:multiLevelType w:val="multilevel"/>
    <w:tmpl w:val="7A0F73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2754CF"/>
    <w:multiLevelType w:val="multilevel"/>
    <w:tmpl w:val="7B2754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BEC1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18716</Words>
  <Characters>19604</Characters>
  <Lines>150</Lines>
  <Paragraphs>42</Paragraphs>
  <TotalTime>5</TotalTime>
  <ScaleCrop>false</ScaleCrop>
  <LinksUpToDate>false</LinksUpToDate>
  <CharactersWithSpaces>19725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2022-04-08T05:58:41Z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