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江西正天酒店用品有限公司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江西省南昌市青山湖区昌安路565号洪大城东产业园1#楼202室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江西省南昌市青山湖区昌安路565号洪大城东产业园1#楼202室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陈智波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13269775333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862595222@qq.com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0183-2021-QEO-2022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Q：酒店用品、厨房设备的销售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E：酒店用品、厨房设备的销售所涉及场所的相关环境管理活动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O：酒店用品、厨房设备的销售所涉及场所的相关职业健康安全管理活动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2022年04月01日 上午至2022年04月03日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2022.3.31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33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-780415</wp:posOffset>
            </wp:positionV>
            <wp:extent cx="7588885" cy="10438130"/>
            <wp:effectExtent l="0" t="0" r="12065" b="1270"/>
            <wp:wrapNone/>
            <wp:docPr id="1" name="图片 1" descr="微信图片_202204031026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0310263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43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  <w:r>
        <w:br w:type="page"/>
      </w:r>
    </w:p>
    <w:p>
      <w:pPr>
        <w:pStyle w:val="2"/>
        <w:jc w:val="center"/>
      </w:pPr>
      <w:r>
        <w:rPr>
          <w:rFonts w:hint="eastAsia"/>
        </w:rPr>
        <w:t>现场审核日程安排表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06"/>
        <w:gridCol w:w="1032"/>
        <w:gridCol w:w="551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06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2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7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Merge w:val="restart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549" w:type="dxa"/>
            <w:gridSpan w:val="2"/>
            <w:vAlign w:val="top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Merge w:val="continue"/>
            <w:vAlign w:val="top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320" w:lineRule="exact"/>
              <w:jc w:val="both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管理层、安全事务代表</w:t>
            </w:r>
          </w:p>
          <w:p>
            <w:pPr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Arial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QEO:4.1理解组织及其环境、4.2理解相关方的需求和期望、4.3 确定管理体系的范围、4.4管理体系及其过程、5.1领导作用和承诺、5.2质量/环境/职业健康安全方针、5.3组织的岗位、职责和权限、6.1应对风险和机遇的措施、6.2质量/环境/职业健康安全目标及其实现的策划、7.1资源、7.4沟通/信息交流、9.3管理评审、10.1改进、10.3持续改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12" w:lineRule="auto"/>
              <w:jc w:val="both"/>
              <w:rPr>
                <w:rFonts w:hint="default" w:ascii="宋体" w:hAnsi="宋体" w:eastAsia="宋体" w:cs="Arial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Q6.3变更的策划、8.3删减合理性/O5.4协商与参与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标准/规范/法规的执行情况、上</w:t>
            </w:r>
            <w:r>
              <w:rPr>
                <w:rFonts w:hint="eastAsia" w:ascii="宋体" w:hAnsi="宋体" w:eastAsia="宋体" w:cs="Arial"/>
                <w:bCs/>
                <w:spacing w:val="-6"/>
                <w:kern w:val="2"/>
                <w:sz w:val="21"/>
                <w:szCs w:val="21"/>
                <w:lang w:val="en-US" w:eastAsia="zh-CN" w:bidi="ar-SA"/>
              </w:rPr>
              <w:t>次审核不符合项的验证、认证证书、标志的使用情况、顾客满意、投诉或事故、国家/地方监督抽查情况</w:t>
            </w:r>
          </w:p>
        </w:tc>
        <w:tc>
          <w:tcPr>
            <w:tcW w:w="1080" w:type="dxa"/>
            <w:vAlign w:val="top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Merge w:val="continue"/>
            <w:vAlign w:val="top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17:00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12:30</w:t>
            </w:r>
          </w:p>
        </w:tc>
        <w:tc>
          <w:tcPr>
            <w:tcW w:w="1032" w:type="dxa"/>
            <w:vAlign w:val="top"/>
          </w:tcPr>
          <w:p>
            <w:pPr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jc w:val="both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5.3组织的岗位、职责和权限、6.2质量目标、7.1.2人员、7.1.3基础设施、7.1.4过程运行环境、7.1.5监视和测量资源、7.1.6组织知识、7.2能力、7.3意识、7.5形成文件的信息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、9.1监视、测量、分析和评价</w:t>
            </w:r>
            <w:r>
              <w:rPr>
                <w:rFonts w:hint="eastAsia" w:ascii="宋体" w:hAnsi="宋体" w:cs="Arial"/>
                <w:sz w:val="21"/>
                <w:szCs w:val="21"/>
              </w:rPr>
              <w:t>、9.2 内部审核、10.2不合格和纠正措施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jc w:val="both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6.2.1环境/职业健康安全目标、6.2.2实现环境目标措施的策划、7.2能力、7.3意识、7.5形成文件的信息、6.1.2环境因素/危险源的辨识与评价、6.1.4措施的策划、6.1.3合规义务、9.1.2合规性评价、8.1运行策划和控制、8.2应急准备和响应、9.1监视测分析和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内部审核、10.2不符合/事件和纠正措施</w:t>
            </w:r>
          </w:p>
        </w:tc>
        <w:tc>
          <w:tcPr>
            <w:tcW w:w="1080" w:type="dxa"/>
            <w:vAlign w:val="top"/>
          </w:tcPr>
          <w:p>
            <w:pPr>
              <w:spacing w:line="320" w:lineRule="exact"/>
              <w:jc w:val="both"/>
              <w:rPr>
                <w:rFonts w:hint="default" w:ascii="宋体" w:hAnsi="宋体" w:eastAsia="宋体" w:cs="Arial"/>
                <w:b/>
                <w:sz w:val="21"/>
                <w:szCs w:val="21"/>
                <w:u w:val="wav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2.4.2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17:00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12:30</w:t>
            </w:r>
          </w:p>
        </w:tc>
        <w:tc>
          <w:tcPr>
            <w:tcW w:w="1032" w:type="dxa"/>
            <w:vAlign w:val="top"/>
          </w:tcPr>
          <w:p>
            <w:pPr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QMS:5.3组织的岗位、职责和权限、6.2质量目标、8.1运行策划和控制、8.2产品和服务的要求、8.5销售服务过程控制、9.1.2顾客满意、8.4外部提供过程、产品和服务的控制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8.6放行、8.7不合格品控制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5.3组织的岗位、职责和权限、6.2环境/职业健康安全目标、6.1.2环境因素/危险源辨识与评价</w:t>
            </w:r>
          </w:p>
        </w:tc>
        <w:tc>
          <w:tcPr>
            <w:tcW w:w="1080" w:type="dxa"/>
            <w:vAlign w:val="top"/>
          </w:tcPr>
          <w:p>
            <w:pPr>
              <w:spacing w:line="32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Merge w:val="restart"/>
            <w:vAlign w:val="top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2022.4.3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  <w:p>
            <w:pPr>
              <w:spacing w:line="240" w:lineRule="exact"/>
              <w:jc w:val="both"/>
            </w:pPr>
            <w:r>
              <w:rPr>
                <w:rFonts w:hint="eastAsia" w:ascii="宋体" w:hAnsi="宋体" w:cs="Arial"/>
                <w:sz w:val="21"/>
                <w:szCs w:val="21"/>
              </w:rPr>
              <w:t>12:00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12:30</w:t>
            </w:r>
          </w:p>
        </w:tc>
        <w:tc>
          <w:tcPr>
            <w:tcW w:w="1032" w:type="dxa"/>
            <w:vAlign w:val="top"/>
          </w:tcPr>
          <w:p>
            <w:pPr>
              <w:spacing w:line="260" w:lineRule="exact"/>
              <w:jc w:val="both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/>
              <w:jc w:val="both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080" w:type="dxa"/>
            <w:vAlign w:val="top"/>
          </w:tcPr>
          <w:p>
            <w:pPr>
              <w:spacing w:line="320" w:lineRule="exact"/>
              <w:jc w:val="both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4" w:type="dxa"/>
            <w:vMerge w:val="continue"/>
            <w:vAlign w:val="top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26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549" w:type="dxa"/>
            <w:gridSpan w:val="2"/>
            <w:vAlign w:val="top"/>
          </w:tcPr>
          <w:p>
            <w:pPr>
              <w:spacing w:line="26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</w:p>
        </w:tc>
        <w:tc>
          <w:tcPr>
            <w:tcW w:w="1080" w:type="dxa"/>
            <w:vAlign w:val="top"/>
          </w:tcPr>
          <w:p>
            <w:pPr>
              <w:spacing w:line="32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C7E11"/>
    <w:rsid w:val="56D04781"/>
    <w:rsid w:val="5DDC3CA2"/>
    <w:rsid w:val="7EF2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1856</Words>
  <Characters>2687</Characters>
  <Lines>37</Lines>
  <Paragraphs>10</Paragraphs>
  <TotalTime>1</TotalTime>
  <ScaleCrop>false</ScaleCrop>
  <LinksUpToDate>false</LinksUpToDate>
  <CharactersWithSpaces>2748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2022-04-03T02:32:47Z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