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管理层；</w:t>
            </w:r>
            <w:r>
              <w:rPr>
                <w:rFonts w:hint="eastAsia"/>
                <w:sz w:val="24"/>
                <w:szCs w:val="24"/>
              </w:rPr>
              <w:t>主管领导</w:t>
            </w:r>
            <w:r>
              <w:rPr>
                <w:rFonts w:hint="eastAsia"/>
                <w:sz w:val="24"/>
                <w:szCs w:val="24"/>
                <w:lang w:val="en-US" w:eastAsia="zh-CN"/>
              </w:rPr>
              <w:t>/</w:t>
            </w:r>
            <w:r>
              <w:rPr>
                <w:rFonts w:hint="eastAsia"/>
                <w:sz w:val="24"/>
                <w:szCs w:val="24"/>
              </w:rPr>
              <w:t>陪同人员：</w:t>
            </w:r>
            <w:r>
              <w:rPr>
                <w:rFonts w:hint="eastAsia"/>
              </w:rPr>
              <w:t>李建国</w:t>
            </w:r>
            <w:r>
              <w:rPr>
                <w:rFonts w:hint="eastAsia"/>
                <w:lang w:val="en-US" w:eastAsia="zh-CN"/>
              </w:rPr>
              <w:t>、</w:t>
            </w:r>
            <w:r>
              <w:rPr>
                <w:rFonts w:hint="eastAsia"/>
              </w:rPr>
              <w:t>张勤平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r>
              <w:rPr>
                <w:rFonts w:hint="eastAsia"/>
                <w:sz w:val="24"/>
                <w:szCs w:val="24"/>
                <w:lang w:val="en-US" w:eastAsia="zh-CN"/>
              </w:rPr>
              <w:t>周文</w:t>
            </w:r>
            <w:bookmarkEnd w:id="0"/>
            <w:r>
              <w:rPr>
                <w:rFonts w:hint="eastAsia"/>
                <w:sz w:val="24"/>
                <w:szCs w:val="24"/>
                <w:lang w:eastAsia="zh-CN"/>
              </w:rPr>
              <w:t>（</w:t>
            </w:r>
            <w:r>
              <w:rPr>
                <w:rFonts w:hint="eastAsia"/>
                <w:sz w:val="24"/>
                <w:szCs w:val="24"/>
                <w:lang w:val="en-US" w:eastAsia="zh-CN"/>
              </w:rPr>
              <w:t>远程）</w:t>
            </w:r>
            <w:bookmarkStart w:id="3" w:name="_GoBack"/>
            <w:bookmarkEnd w:id="3"/>
            <w:r>
              <w:rPr>
                <w:rFonts w:hint="eastAsia"/>
                <w:sz w:val="24"/>
                <w:szCs w:val="24"/>
              </w:rPr>
              <w:t>审核时间：</w:t>
            </w:r>
            <w:bookmarkStart w:id="1" w:name="审核日期"/>
            <w:r>
              <w:t>2022年04月1</w:t>
            </w:r>
            <w:r>
              <w:rPr>
                <w:rFonts w:hint="eastAsia"/>
                <w:lang w:val="en-US" w:eastAsia="zh-CN"/>
              </w:rPr>
              <w:t>7</w:t>
            </w:r>
            <w:r>
              <w:t>日 上午至2022年04月1</w:t>
            </w:r>
            <w:r>
              <w:rPr>
                <w:rFonts w:hint="eastAsia"/>
                <w:lang w:val="en-US" w:eastAsia="zh-CN"/>
              </w:rPr>
              <w:t>7</w:t>
            </w:r>
            <w:r>
              <w:t>日 下午</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eastAsia="宋体" w:cs="Times New Roman"/>
                <w:b w:val="0"/>
                <w:bCs w:val="0"/>
                <w:sz w:val="21"/>
                <w:szCs w:val="21"/>
                <w:lang w:val="en-US" w:eastAsia="zh-CN"/>
              </w:rPr>
            </w:pPr>
            <w:r>
              <w:rPr>
                <w:rFonts w:hint="eastAsia"/>
                <w:sz w:val="24"/>
                <w:szCs w:val="24"/>
              </w:rPr>
              <w:t>审核条款：</w:t>
            </w:r>
            <w:r>
              <w:rPr>
                <w:rFonts w:hint="eastAsia" w:ascii="宋体" w:hAnsi="宋体" w:eastAsia="宋体" w:cs="Times New Roman"/>
                <w:b w:val="0"/>
                <w:bCs w:val="0"/>
                <w:sz w:val="21"/>
                <w:szCs w:val="21"/>
              </w:rPr>
              <w:t>Q</w:t>
            </w:r>
            <w:r>
              <w:rPr>
                <w:rFonts w:hint="eastAsia" w:ascii="宋体" w:hAnsi="宋体" w:eastAsia="宋体" w:cs="Times New Roman"/>
                <w:b w:val="0"/>
                <w:bCs w:val="0"/>
                <w:sz w:val="21"/>
                <w:szCs w:val="21"/>
                <w:lang w:val="en-US" w:eastAsia="zh-CN"/>
              </w:rPr>
              <w:t>:4.1/4.2/4.3/4.4/5.2/5.3/6.1/6.2/6.3/9.3</w:t>
            </w:r>
          </w:p>
          <w:p>
            <w:pPr>
              <w:snapToGrid w:val="0"/>
              <w:spacing w:line="32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1、企业概况及组织体系总体策划和建立过程：</w:t>
            </w:r>
          </w:p>
          <w:p>
            <w:pPr>
              <w:snapToGrid w:val="0"/>
              <w:spacing w:line="32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*组织层面影响管理体系预期结果的风险识别与应对的运行有效性；包括相关方需求的识别和应对，以及风险识别与应对机制的运行、体系变更策划；</w:t>
            </w:r>
          </w:p>
          <w:p>
            <w:pPr>
              <w:snapToGrid w:val="0"/>
              <w:spacing w:line="32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*管理体系范围确定的适宜性和充分性及体系过程（包括QMS 不适宜要求确定的合理性--8.3）；</w:t>
            </w:r>
          </w:p>
          <w:p>
            <w:pPr>
              <w:snapToGrid w:val="0"/>
              <w:spacing w:line="320" w:lineRule="exact"/>
              <w:rPr>
                <w:rFonts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*组织职能分配、目标建立的适宜性和实施的有效性；</w:t>
            </w:r>
          </w:p>
          <w:p>
            <w:pPr>
              <w:snapToGrid w:val="0"/>
              <w:spacing w:line="32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2、管理评审的实施及作用；</w:t>
            </w:r>
          </w:p>
          <w:p>
            <w:pPr>
              <w:rPr>
                <w:sz w:val="24"/>
                <w:szCs w:val="24"/>
              </w:rPr>
            </w:pPr>
            <w:r>
              <w:rPr>
                <w:rFonts w:hint="eastAsia" w:ascii="宋体" w:hAnsi="宋体" w:eastAsia="宋体" w:cs="Times New Roman"/>
                <w:b w:val="0"/>
                <w:bCs w:val="0"/>
                <w:sz w:val="21"/>
                <w:szCs w:val="21"/>
                <w:lang w:val="en-US" w:eastAsia="zh-CN"/>
              </w:rPr>
              <w:t>3、上次审核不符合项的验证；产品质量状况(包括质量事件、顾客投诉、监督部门抽查/检测等)</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2160" w:type="dxa"/>
          </w:tcPr>
          <w:p>
            <w:r>
              <w:rPr>
                <w:rFonts w:hint="eastAsia" w:ascii="宋体" w:hAnsi="宋体" w:eastAsia="宋体" w:cs="Times New Roman"/>
                <w:b w:val="0"/>
                <w:bCs w:val="0"/>
                <w:sz w:val="21"/>
                <w:szCs w:val="21"/>
                <w:lang w:val="en-US" w:eastAsia="zh-CN"/>
              </w:rPr>
              <w:t>企业概况及组织体系总体策划和建立过程</w:t>
            </w:r>
          </w:p>
        </w:tc>
        <w:tc>
          <w:tcPr>
            <w:tcW w:w="960" w:type="dxa"/>
          </w:tcPr>
          <w:p>
            <w:r>
              <w:rPr>
                <w:rFonts w:hint="eastAsia" w:ascii="宋体" w:hAnsi="宋体"/>
              </w:rPr>
              <w:t>4.1</w:t>
            </w:r>
            <w:r>
              <w:rPr>
                <w:rFonts w:hint="eastAsia" w:ascii="宋体" w:hAnsi="宋体"/>
                <w:lang w:eastAsia="zh-CN"/>
              </w:rPr>
              <w:t>、</w:t>
            </w:r>
            <w:r>
              <w:rPr>
                <w:rFonts w:hint="eastAsia" w:ascii="宋体" w:hAnsi="宋体"/>
              </w:rPr>
              <w:t>4.2</w:t>
            </w:r>
            <w:r>
              <w:rPr>
                <w:rFonts w:hint="eastAsia" w:ascii="宋体" w:hAnsi="宋体"/>
                <w:lang w:eastAsia="zh-CN"/>
              </w:rPr>
              <w:t>、</w:t>
            </w:r>
            <w:r>
              <w:rPr>
                <w:rFonts w:hint="eastAsia" w:ascii="宋体" w:hAnsi="宋体"/>
              </w:rPr>
              <w:t>6.1</w:t>
            </w:r>
            <w:r>
              <w:rPr>
                <w:rFonts w:hint="eastAsia" w:ascii="宋体" w:hAnsi="宋体"/>
                <w:lang w:eastAsia="zh-CN"/>
              </w:rPr>
              <w:t>、</w:t>
            </w:r>
            <w:r>
              <w:rPr>
                <w:rFonts w:hint="eastAsia" w:ascii="宋体" w:hAnsi="宋体"/>
              </w:rPr>
              <w:t>6.3</w:t>
            </w:r>
          </w:p>
        </w:tc>
        <w:tc>
          <w:tcPr>
            <w:tcW w:w="10004" w:type="dxa"/>
          </w:tcPr>
          <w:p>
            <w:r>
              <w:rPr>
                <w:rFonts w:hint="eastAsia"/>
                <w:lang w:val="en-US" w:eastAsia="zh-CN"/>
              </w:rPr>
              <w:t>法人：韩振伟；总经理：</w:t>
            </w:r>
            <w:r>
              <w:rPr>
                <w:rFonts w:hint="eastAsia"/>
              </w:rPr>
              <w:t>李建国</w:t>
            </w:r>
            <w:r>
              <w:rPr>
                <w:rFonts w:hint="eastAsia"/>
                <w:lang w:val="en-US" w:eastAsia="zh-CN"/>
              </w:rPr>
              <w:t>；管代：</w:t>
            </w:r>
            <w:r>
              <w:rPr>
                <w:rFonts w:hint="eastAsia"/>
              </w:rPr>
              <w:t>张勤平</w:t>
            </w:r>
          </w:p>
          <w:p>
            <w:pPr>
              <w:spacing w:line="276" w:lineRule="auto"/>
              <w:ind w:firstLine="420" w:firstLineChars="200"/>
              <w:rPr>
                <w:rFonts w:hint="eastAsia"/>
              </w:rPr>
            </w:pPr>
            <w:r>
              <w:rPr>
                <w:rFonts w:hint="eastAsia"/>
              </w:rPr>
              <w:t xml:space="preserve">  </w:t>
            </w:r>
            <w:r>
              <w:rPr>
                <w:rFonts w:hint="eastAsia"/>
                <w:lang w:eastAsia="zh-CN"/>
              </w:rPr>
              <w:t>襄阳皖丰机械有限公司</w:t>
            </w:r>
            <w:r>
              <w:rPr>
                <w:rFonts w:hint="eastAsia"/>
              </w:rPr>
              <w:t>成立于201</w:t>
            </w:r>
            <w:r>
              <w:rPr>
                <w:rFonts w:hint="eastAsia"/>
                <w:lang w:val="en-US" w:eastAsia="zh-CN"/>
              </w:rPr>
              <w:t>9</w:t>
            </w:r>
            <w:r>
              <w:rPr>
                <w:rFonts w:hint="eastAsia"/>
              </w:rPr>
              <w:t>年</w:t>
            </w:r>
            <w:r>
              <w:rPr>
                <w:rFonts w:hint="eastAsia"/>
                <w:lang w:val="en-US" w:eastAsia="zh-CN"/>
              </w:rPr>
              <w:t>10</w:t>
            </w:r>
            <w:r>
              <w:rPr>
                <w:rFonts w:hint="eastAsia"/>
              </w:rPr>
              <w:t>月，位于襄阳高新区新风路6号， 主要从事汽车轮彀单元、轴承内外圈的加工。公司技术力量雄厚，生产设备精良，能够满足不同客户的生产需要。</w:t>
            </w:r>
          </w:p>
          <w:p>
            <w:pPr>
              <w:spacing w:line="276" w:lineRule="auto"/>
              <w:ind w:firstLine="420" w:firstLineChars="200"/>
              <w:rPr>
                <w:rFonts w:hint="eastAsia"/>
              </w:rPr>
            </w:pPr>
            <w:r>
              <w:rPr>
                <w:rFonts w:hint="eastAsia"/>
              </w:rPr>
              <w:t>公司十分重视技术改造，近年来斥巨资购置数控机床、加工中心等，淘汰了传统工艺，减少了加工工序，避免了重复定位，加工的产品形位公差好，完全符合客户的工艺要求。</w:t>
            </w:r>
          </w:p>
          <w:p>
            <w:pPr>
              <w:spacing w:line="276" w:lineRule="auto"/>
              <w:ind w:firstLine="420" w:firstLineChars="200"/>
              <w:rPr>
                <w:rFonts w:hint="eastAsia"/>
              </w:rPr>
            </w:pPr>
            <w:r>
              <w:rPr>
                <w:rFonts w:hint="eastAsia"/>
              </w:rPr>
              <w:t>公司产品深受广大客户青睐。</w:t>
            </w:r>
          </w:p>
          <w:p>
            <w:pPr>
              <w:spacing w:line="276" w:lineRule="auto"/>
              <w:ind w:firstLine="420" w:firstLineChars="200"/>
              <w:rPr>
                <w:rFonts w:hint="eastAsia"/>
              </w:rPr>
            </w:pPr>
            <w:r>
              <w:rPr>
                <w:rFonts w:hint="eastAsia"/>
              </w:rPr>
              <w:t>我公司的质量目标：出厂产品零缺陷。</w:t>
            </w:r>
          </w:p>
          <w:p>
            <w:pPr>
              <w:spacing w:line="276" w:lineRule="auto"/>
              <w:ind w:firstLine="420" w:firstLineChars="200"/>
              <w:rPr>
                <w:rFonts w:hint="eastAsia"/>
              </w:rPr>
            </w:pPr>
            <w:r>
              <w:rPr>
                <w:rFonts w:hint="eastAsia"/>
              </w:rPr>
              <w:t>坚持质量第一，以工作的高质量保证产品的高质量，持续改进使企业不断提升管理能力，全面满足国内外客户的需求。</w:t>
            </w:r>
          </w:p>
          <w:p>
            <w:pPr>
              <w:spacing w:line="276" w:lineRule="auto"/>
              <w:ind w:firstLine="420" w:firstLineChars="200"/>
              <w:rPr>
                <w:rFonts w:hint="eastAsia"/>
                <w:lang w:val="en-US" w:eastAsia="zh-CN"/>
              </w:rPr>
            </w:pPr>
            <w:r>
              <w:rPr>
                <w:rFonts w:hint="eastAsia"/>
              </w:rPr>
              <w:t>注册地址：襄阳市高新区</w:t>
            </w:r>
            <w:r>
              <w:rPr>
                <w:rFonts w:hint="eastAsia"/>
                <w:lang w:eastAsia="zh-CN"/>
              </w:rPr>
              <w:t>新风路</w:t>
            </w:r>
            <w:r>
              <w:rPr>
                <w:rFonts w:hint="eastAsia"/>
                <w:lang w:val="en-US" w:eastAsia="zh-CN"/>
              </w:rPr>
              <w:t>6号</w:t>
            </w:r>
          </w:p>
          <w:p>
            <w:pPr>
              <w:spacing w:line="276" w:lineRule="auto"/>
              <w:ind w:firstLine="420" w:firstLineChars="200"/>
              <w:rPr>
                <w:rFonts w:hint="eastAsia"/>
              </w:rPr>
            </w:pPr>
            <w:r>
              <w:rPr>
                <w:rFonts w:hint="eastAsia"/>
              </w:rPr>
              <w:t>生产地址：襄阳市高新区新风路6号襄阳鹰牌轴承院内</w:t>
            </w:r>
          </w:p>
          <w:p>
            <w:pPr>
              <w:spacing w:line="276" w:lineRule="auto"/>
              <w:ind w:firstLine="420" w:firstLineChars="200"/>
              <w:rPr>
                <w:rFonts w:asciiTheme="minorEastAsia" w:hAnsiTheme="minorEastAsia" w:eastAsiaTheme="minorEastAsia"/>
              </w:rPr>
            </w:pPr>
            <w:r>
              <w:rPr>
                <w:rFonts w:hint="eastAsia" w:asciiTheme="minorEastAsia" w:hAnsiTheme="minorEastAsia" w:eastAsiaTheme="minorEastAsia"/>
              </w:rPr>
              <w:t>公司</w:t>
            </w:r>
            <w:r>
              <w:rPr>
                <w:rFonts w:hint="eastAsia"/>
                <w:lang w:val="en-US" w:eastAsia="zh-CN"/>
              </w:rPr>
              <w:t>法人兼办公室负责人</w:t>
            </w:r>
            <w:r>
              <w:rPr>
                <w:rFonts w:hint="eastAsia" w:asciiTheme="minorEastAsia" w:hAnsiTheme="minorEastAsia" w:eastAsiaTheme="minorEastAsia"/>
              </w:rPr>
              <w:t>韩振伟 ，在其组织策划下开展建立质量管理体系。</w:t>
            </w:r>
            <w:r>
              <w:rPr>
                <w:rFonts w:hint="eastAsia" w:asciiTheme="minorEastAsia" w:hAnsiTheme="minorEastAsia" w:eastAsiaTheme="minorEastAsia"/>
                <w:lang w:val="en-US" w:eastAsia="zh-CN"/>
              </w:rPr>
              <w:t>体系覆盖人数20人；</w:t>
            </w:r>
            <w:r>
              <w:rPr>
                <w:rFonts w:hint="eastAsia" w:asciiTheme="minorEastAsia" w:hAnsiTheme="minorEastAsia" w:eastAsiaTheme="minorEastAsia"/>
              </w:rPr>
              <w:t>于20</w:t>
            </w:r>
            <w:r>
              <w:rPr>
                <w:rFonts w:hint="eastAsia" w:asciiTheme="minorEastAsia" w:hAnsiTheme="minorEastAsia" w:eastAsiaTheme="minorEastAsia"/>
                <w:lang w:val="en-US" w:eastAsia="zh-CN"/>
              </w:rPr>
              <w:t>19</w:t>
            </w:r>
            <w:r>
              <w:rPr>
                <w:rFonts w:hint="eastAsia" w:asciiTheme="minorEastAsia" w:hAnsiTheme="minorEastAsia" w:eastAsiaTheme="minorEastAsia"/>
              </w:rPr>
              <w:t>年</w:t>
            </w:r>
            <w:r>
              <w:rPr>
                <w:rFonts w:hint="eastAsia" w:asciiTheme="minorEastAsia" w:hAnsiTheme="minorEastAsia" w:eastAsiaTheme="minorEastAsia"/>
                <w:lang w:val="en-US" w:eastAsia="zh-CN"/>
              </w:rPr>
              <w:t>11</w:t>
            </w:r>
            <w:r>
              <w:rPr>
                <w:rFonts w:hint="eastAsia" w:asciiTheme="minorEastAsia" w:hAnsiTheme="minorEastAsia" w:eastAsiaTheme="minorEastAsia"/>
              </w:rPr>
              <w:t>月1</w:t>
            </w:r>
            <w:r>
              <w:rPr>
                <w:rFonts w:hint="eastAsia" w:asciiTheme="minorEastAsia" w:hAnsiTheme="minorEastAsia" w:eastAsiaTheme="minorEastAsia"/>
                <w:lang w:val="en-US" w:eastAsia="zh-CN"/>
              </w:rPr>
              <w:t>0</w:t>
            </w:r>
            <w:r>
              <w:rPr>
                <w:rFonts w:hint="eastAsia" w:asciiTheme="minorEastAsia" w:hAnsiTheme="minorEastAsia" w:eastAsiaTheme="minorEastAsia"/>
              </w:rPr>
              <w:t>日颁布并实施了质量管理体系文件，体系文件包括有管理手册、方针/目标、程序文件、作业文件以及体系运行所需的记录等。查阅其手册及程序文件等，其体系文件按照GB/T19001-2016《质量管理体系  要求》标准编制</w:t>
            </w:r>
            <w:r>
              <w:rPr>
                <w:rFonts w:hint="eastAsia" w:asciiTheme="minorEastAsia" w:hAnsiTheme="minorEastAsia" w:eastAsiaTheme="minorEastAsia"/>
                <w:lang w:eastAsia="zh-CN"/>
              </w:rPr>
              <w:t>；</w:t>
            </w:r>
            <w:r>
              <w:rPr>
                <w:rFonts w:hint="eastAsia" w:asciiTheme="minorEastAsia" w:hAnsiTheme="minorEastAsia" w:eastAsiaTheme="minorEastAsia"/>
              </w:rPr>
              <w:t>公司产品严格按照顾客提供图纸和样品生产，设备精密自动化，工艺成熟，人员稳定，故标准中“8.3 产品和服务的设计和开发”条款不适用本公司，不使用本条款后不影响本公司为顾客提供合格产品的责任。</w:t>
            </w:r>
            <w:r>
              <w:rPr>
                <w:rFonts w:hint="eastAsia" w:asciiTheme="minorEastAsia" w:hAnsiTheme="minorEastAsia" w:eastAsiaTheme="minorEastAsia"/>
                <w:lang w:val="en-US" w:eastAsia="zh-CN"/>
              </w:rPr>
              <w:t>因此</w:t>
            </w:r>
            <w:r>
              <w:rPr>
                <w:rFonts w:hint="eastAsia" w:asciiTheme="minorEastAsia" w:hAnsiTheme="minorEastAsia" w:eastAsiaTheme="minorEastAsia"/>
              </w:rPr>
              <w:t>该公司文件化质量管理体系覆盖标准全条款。</w:t>
            </w:r>
          </w:p>
          <w:p>
            <w:pPr>
              <w:pStyle w:val="13"/>
              <w:spacing w:line="276" w:lineRule="auto"/>
              <w:ind w:firstLine="420" w:firstLineChars="200"/>
              <w:rPr>
                <w:rFonts w:asciiTheme="minorEastAsia" w:hAnsiTheme="minorEastAsia" w:eastAsiaTheme="minorEastAsia"/>
              </w:rPr>
            </w:pPr>
            <w:r>
              <w:rPr>
                <w:rFonts w:hint="eastAsia" w:asciiTheme="minorEastAsia" w:hAnsiTheme="minorEastAsia" w:eastAsiaTheme="minorEastAsia"/>
              </w:rPr>
              <w:t>总经理介绍，公司现行主要业务为</w:t>
            </w:r>
            <w:bookmarkStart w:id="2" w:name="审核范围"/>
            <w:r>
              <w:rPr>
                <w:rFonts w:hint="eastAsia" w:asciiTheme="minorEastAsia" w:hAnsiTheme="minorEastAsia" w:eastAsiaTheme="minorEastAsia"/>
              </w:rPr>
              <w:t>汽车轮彀单元、轴承内外圈的加工及销售</w:t>
            </w:r>
            <w:bookmarkEnd w:id="2"/>
            <w:r>
              <w:rPr>
                <w:rFonts w:hint="eastAsia" w:asciiTheme="minorEastAsia" w:hAnsiTheme="minorEastAsia" w:eastAsiaTheme="minorEastAsia"/>
              </w:rPr>
              <w:t>。主要生产及销售过程为：</w:t>
            </w:r>
          </w:p>
          <w:p>
            <w:pPr>
              <w:pStyle w:val="16"/>
              <w:numPr>
                <w:ilvl w:val="0"/>
                <w:numId w:val="0"/>
              </w:numPr>
              <w:ind w:leftChars="0"/>
              <w:rPr>
                <w:rFonts w:hint="eastAsia"/>
                <w:lang w:val="en-US" w:eastAsia="zh-CN"/>
              </w:rPr>
            </w:pPr>
            <w:r>
              <w:rPr>
                <w:rFonts w:hint="eastAsia"/>
                <w:lang w:val="en-US" w:eastAsia="zh-CN"/>
              </w:rPr>
              <w:t>生产：签订合同——采购原材料——金属加工制造（车、钻、加工中心）——检验——入库</w:t>
            </w:r>
          </w:p>
          <w:p>
            <w:pPr>
              <w:pStyle w:val="13"/>
              <w:spacing w:line="276" w:lineRule="auto"/>
              <w:rPr>
                <w:rFonts w:hint="eastAsia" w:eastAsia="宋体" w:asciiTheme="minorEastAsia" w:hAnsiTheme="minorEastAsia"/>
                <w:lang w:eastAsia="zh-CN"/>
              </w:rPr>
            </w:pPr>
            <w:r>
              <w:rPr>
                <w:rFonts w:hint="eastAsia" w:cs="宋体" w:asciiTheme="minorEastAsia" w:hAnsiTheme="minorEastAsia" w:eastAsiaTheme="minorEastAsia"/>
                <w:szCs w:val="21"/>
                <w:lang w:val="en-US" w:eastAsia="zh-CN"/>
              </w:rPr>
              <w:t>销售：</w:t>
            </w:r>
            <w:r>
              <w:rPr>
                <w:rFonts w:hint="eastAsia" w:cs="宋体" w:asciiTheme="minorEastAsia" w:hAnsiTheme="minorEastAsia" w:eastAsiaTheme="minorEastAsia"/>
                <w:szCs w:val="21"/>
              </w:rPr>
              <w:t>客户</w:t>
            </w:r>
            <w:r>
              <w:rPr>
                <w:rFonts w:hint="eastAsia" w:cs="宋体" w:asciiTheme="minorEastAsia" w:hAnsiTheme="minorEastAsia" w:eastAsiaTheme="minorEastAsia"/>
                <w:szCs w:val="21"/>
                <w:lang w:val="en-US" w:eastAsia="zh-CN"/>
              </w:rPr>
              <w:t>接洽</w:t>
            </w:r>
            <w:r>
              <w:rPr>
                <w:rFonts w:hint="eastAsia"/>
                <w:sz w:val="21"/>
                <w:szCs w:val="21"/>
              </w:rPr>
              <w:t>－－</w:t>
            </w:r>
            <w:r>
              <w:rPr>
                <w:rFonts w:hint="eastAsia" w:cs="宋体" w:asciiTheme="minorEastAsia" w:hAnsiTheme="minorEastAsia" w:eastAsiaTheme="minorEastAsia"/>
                <w:szCs w:val="21"/>
              </w:rPr>
              <w:t>签订合同</w:t>
            </w:r>
            <w:r>
              <w:rPr>
                <w:rFonts w:hint="eastAsia"/>
                <w:sz w:val="21"/>
                <w:szCs w:val="21"/>
              </w:rPr>
              <w:t>－－</w:t>
            </w:r>
            <w:r>
              <w:rPr>
                <w:rFonts w:hint="eastAsia"/>
                <w:sz w:val="21"/>
                <w:szCs w:val="21"/>
                <w:lang w:val="en-US" w:eastAsia="zh-CN"/>
              </w:rPr>
              <w:t>销售服务</w:t>
            </w:r>
            <w:r>
              <w:rPr>
                <w:rFonts w:hint="eastAsia"/>
                <w:sz w:val="21"/>
                <w:szCs w:val="21"/>
              </w:rPr>
              <w:t>－－</w:t>
            </w:r>
            <w:r>
              <w:rPr>
                <w:rFonts w:hint="eastAsia"/>
                <w:color w:val="000000"/>
                <w:szCs w:val="22"/>
                <w:lang w:eastAsia="zh-CN"/>
              </w:rPr>
              <w:t>验收交付</w:t>
            </w:r>
          </w:p>
          <w:p>
            <w:pPr>
              <w:pStyle w:val="13"/>
              <w:spacing w:line="276" w:lineRule="auto"/>
              <w:rPr>
                <w:rFonts w:asciiTheme="minorEastAsia" w:hAnsiTheme="minorEastAsia" w:eastAsiaTheme="minorEastAsia"/>
              </w:rPr>
            </w:pPr>
            <w:r>
              <w:rPr>
                <w:rFonts w:hint="eastAsia" w:asciiTheme="minorEastAsia" w:hAnsiTheme="minorEastAsia" w:eastAsiaTheme="minorEastAsia"/>
                <w:lang w:val="en-US" w:eastAsia="zh-CN"/>
              </w:rPr>
              <w:t>--</w:t>
            </w:r>
            <w:r>
              <w:rPr>
                <w:rFonts w:hint="eastAsia" w:asciiTheme="minorEastAsia" w:hAnsiTheme="minorEastAsia" w:eastAsiaTheme="minorEastAsia"/>
              </w:rPr>
              <w:t>提供有“经营管经营管理SWOT分析表”，识别了影响其实现质量管理体系预期结果的企业内外部环境因素。包括：</w:t>
            </w:r>
            <w:r>
              <w:rPr>
                <w:rFonts w:hint="eastAsia" w:asciiTheme="minorEastAsia" w:hAnsiTheme="minorEastAsia" w:eastAsiaTheme="minorEastAsia"/>
                <w:lang w:val="en-US" w:eastAsia="zh-CN"/>
              </w:rPr>
              <w:t>政治/</w:t>
            </w:r>
            <w:r>
              <w:rPr>
                <w:rFonts w:hint="eastAsia"/>
              </w:rPr>
              <w:t>法律</w:t>
            </w:r>
            <w:r>
              <w:rPr>
                <w:rFonts w:hint="eastAsia"/>
                <w:lang w:eastAsia="zh-CN"/>
              </w:rPr>
              <w:t>、</w:t>
            </w:r>
            <w:r>
              <w:rPr>
                <w:rFonts w:hint="eastAsia"/>
                <w:lang w:bidi="ar"/>
              </w:rPr>
              <w:t>技术、</w:t>
            </w:r>
            <w:r>
              <w:rPr>
                <w:rFonts w:hint="eastAsia"/>
                <w:lang w:val="en-US" w:eastAsia="zh-CN" w:bidi="ar"/>
              </w:rPr>
              <w:t>经济</w:t>
            </w:r>
            <w:r>
              <w:rPr>
                <w:rFonts w:hint="eastAsia"/>
                <w:lang w:bidi="ar"/>
              </w:rPr>
              <w:t>；财务构面、顾客构面、员工构面等等。</w:t>
            </w:r>
          </w:p>
          <w:p>
            <w:pPr>
              <w:pStyle w:val="13"/>
              <w:spacing w:line="276" w:lineRule="auto"/>
              <w:rPr>
                <w:rFonts w:asciiTheme="minorEastAsia" w:hAnsiTheme="minorEastAsia" w:eastAsiaTheme="minorEastAsia"/>
              </w:rPr>
            </w:pPr>
            <w:r>
              <w:rPr>
                <w:rFonts w:hint="eastAsia" w:asciiTheme="minorEastAsia" w:hAnsiTheme="minorEastAsia" w:eastAsiaTheme="minorEastAsia"/>
                <w:lang w:val="en-US" w:eastAsia="zh-CN"/>
              </w:rPr>
              <w:t>--</w:t>
            </w:r>
            <w:r>
              <w:rPr>
                <w:rFonts w:hint="eastAsia" w:asciiTheme="minorEastAsia" w:hAnsiTheme="minorEastAsia" w:eastAsiaTheme="minorEastAsia"/>
              </w:rPr>
              <w:t>出示有“组织环境因素识别表”</w:t>
            </w:r>
            <w:r>
              <w:rPr>
                <w:rFonts w:hint="eastAsia" w:asciiTheme="minorEastAsia" w:hAnsiTheme="minorEastAsia" w:eastAsiaTheme="minorEastAsia"/>
                <w:lang w:eastAsia="zh-CN"/>
              </w:rPr>
              <w:t>、</w:t>
            </w:r>
            <w:r>
              <w:rPr>
                <w:rFonts w:hint="eastAsia" w:asciiTheme="minorEastAsia" w:hAnsiTheme="minorEastAsia" w:eastAsiaTheme="minorEastAsia"/>
              </w:rPr>
              <w:t>“</w:t>
            </w:r>
            <w:r>
              <w:rPr>
                <w:rFonts w:hint="default" w:asciiTheme="minorEastAsia" w:hAnsiTheme="minorEastAsia" w:eastAsiaTheme="minorEastAsia"/>
                <w:lang w:val="en-US" w:eastAsia="zh-CN"/>
              </w:rPr>
              <w:t>相关方要求识别表”</w:t>
            </w:r>
            <w:r>
              <w:rPr>
                <w:rFonts w:hint="eastAsia" w:asciiTheme="minorEastAsia" w:hAnsiTheme="minorEastAsia" w:eastAsiaTheme="minorEastAsia"/>
                <w:lang w:val="en-US" w:eastAsia="zh-CN"/>
              </w:rPr>
              <w:t>及“</w:t>
            </w:r>
            <w:r>
              <w:rPr>
                <w:rFonts w:hint="eastAsia" w:asciiTheme="minorEastAsia" w:hAnsiTheme="minorEastAsia" w:eastAsiaTheme="minorEastAsia"/>
              </w:rPr>
              <w:t>风险识别与控制表</w:t>
            </w:r>
            <w:r>
              <w:rPr>
                <w:rFonts w:hint="eastAsia" w:asciiTheme="minorEastAsia" w:hAnsiTheme="minorEastAsia" w:eastAsiaTheme="minorEastAsia"/>
                <w:lang w:eastAsia="zh-CN"/>
              </w:rPr>
              <w:t>”</w:t>
            </w:r>
            <w:r>
              <w:rPr>
                <w:rFonts w:hint="eastAsia" w:asciiTheme="minorEastAsia" w:hAnsiTheme="minorEastAsia" w:eastAsiaTheme="minorEastAsia"/>
              </w:rPr>
              <w:t>。</w:t>
            </w:r>
            <w:r>
              <w:rPr>
                <w:rFonts w:hint="eastAsia" w:asciiTheme="minorEastAsia" w:hAnsiTheme="minorEastAsia" w:eastAsiaTheme="minorEastAsia"/>
                <w:lang w:val="en-US" w:eastAsia="zh-CN"/>
              </w:rPr>
              <w:t>对内外部环境、相关方要求和公司及各部门的风险和机遇进行了识别并制定了相应的控制措施；抽查公司及生产部、财务部</w:t>
            </w:r>
            <w:r>
              <w:rPr>
                <w:rFonts w:hint="eastAsia" w:asciiTheme="minorEastAsia" w:hAnsiTheme="minorEastAsia" w:eastAsiaTheme="minorEastAsia"/>
              </w:rPr>
              <w:t>识别的主要风险和机遇及控制措施有：</w:t>
            </w:r>
          </w:p>
          <w:tbl>
            <w:tblPr>
              <w:tblStyle w:val="7"/>
              <w:tblpPr w:leftFromText="180" w:rightFromText="180" w:vertAnchor="text" w:horzAnchor="margin" w:tblpY="98"/>
              <w:tblW w:w="98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6"/>
              <w:gridCol w:w="3777"/>
              <w:gridCol w:w="5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1086" w:type="dxa"/>
                  <w:tcBorders>
                    <w:bottom w:val="single" w:color="000000" w:sz="4" w:space="0"/>
                  </w:tcBorders>
                  <w:shd w:val="clear" w:color="auto" w:fill="D9D9D9"/>
                  <w:noWrap w:val="0"/>
                  <w:vAlign w:val="center"/>
                </w:tcPr>
                <w:p>
                  <w:pPr>
                    <w:spacing w:line="300" w:lineRule="exact"/>
                    <w:jc w:val="center"/>
                    <w:rPr>
                      <w:rFonts w:hint="eastAsia"/>
                      <w:b/>
                    </w:rPr>
                  </w:pPr>
                  <w:r>
                    <w:rPr>
                      <w:rFonts w:hint="eastAsia"/>
                      <w:b/>
                    </w:rPr>
                    <w:t>部门</w:t>
                  </w:r>
                </w:p>
              </w:tc>
              <w:tc>
                <w:tcPr>
                  <w:tcW w:w="3777" w:type="dxa"/>
                  <w:tcBorders>
                    <w:bottom w:val="single" w:color="000000" w:sz="4" w:space="0"/>
                  </w:tcBorders>
                  <w:shd w:val="clear" w:color="auto" w:fill="D9D9D9"/>
                  <w:noWrap w:val="0"/>
                  <w:vAlign w:val="center"/>
                </w:tcPr>
                <w:p>
                  <w:pPr>
                    <w:spacing w:line="300" w:lineRule="exact"/>
                    <w:jc w:val="center"/>
                    <w:rPr>
                      <w:b/>
                    </w:rPr>
                  </w:pPr>
                  <w:r>
                    <w:rPr>
                      <w:rFonts w:hint="eastAsia"/>
                      <w:b/>
                    </w:rPr>
                    <w:t>风险点</w:t>
                  </w:r>
                </w:p>
              </w:tc>
              <w:tc>
                <w:tcPr>
                  <w:tcW w:w="5036" w:type="dxa"/>
                  <w:tcBorders>
                    <w:bottom w:val="single" w:color="000000" w:sz="4" w:space="0"/>
                  </w:tcBorders>
                  <w:shd w:val="clear" w:color="auto" w:fill="D9D9D9"/>
                  <w:noWrap w:val="0"/>
                  <w:vAlign w:val="center"/>
                </w:tcPr>
                <w:p>
                  <w:pPr>
                    <w:spacing w:line="300" w:lineRule="exact"/>
                    <w:jc w:val="center"/>
                    <w:rPr>
                      <w:b/>
                    </w:rPr>
                  </w:pPr>
                  <w:r>
                    <w:rPr>
                      <w:rFonts w:hint="eastAsia"/>
                      <w:b/>
                    </w:rPr>
                    <w:t>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5" w:hRule="atLeast"/>
              </w:trPr>
              <w:tc>
                <w:tcPr>
                  <w:tcW w:w="1086" w:type="dxa"/>
                  <w:vMerge w:val="restart"/>
                  <w:tcBorders>
                    <w:bottom w:val="single" w:color="000000" w:sz="4" w:space="0"/>
                    <w:right w:val="single" w:color="000000" w:sz="4" w:space="0"/>
                  </w:tcBorders>
                  <w:noWrap w:val="0"/>
                  <w:vAlign w:val="center"/>
                </w:tcPr>
                <w:p>
                  <w:pPr>
                    <w:spacing w:line="300" w:lineRule="exact"/>
                    <w:jc w:val="center"/>
                    <w:rPr>
                      <w:rFonts w:hint="eastAsia"/>
                      <w:b/>
                    </w:rPr>
                  </w:pPr>
                  <w:r>
                    <w:rPr>
                      <w:rFonts w:hint="eastAsia"/>
                      <w:b/>
                    </w:rPr>
                    <w:t>生产部</w:t>
                  </w:r>
                </w:p>
                <w:p>
                  <w:pPr>
                    <w:spacing w:line="300" w:lineRule="exact"/>
                    <w:jc w:val="center"/>
                    <w:rPr>
                      <w:rFonts w:hint="eastAsia"/>
                      <w:b/>
                    </w:rPr>
                  </w:pPr>
                  <w:r>
                    <w:rPr>
                      <w:rFonts w:hint="eastAsia"/>
                      <w:b/>
                    </w:rPr>
                    <w:t>及</w:t>
                  </w:r>
                </w:p>
                <w:p>
                  <w:pPr>
                    <w:spacing w:line="300" w:lineRule="exact"/>
                    <w:jc w:val="center"/>
                    <w:rPr>
                      <w:b/>
                    </w:rPr>
                  </w:pPr>
                  <w:r>
                    <w:rPr>
                      <w:rFonts w:hint="eastAsia"/>
                      <w:b/>
                    </w:rPr>
                    <w:t>车间</w:t>
                  </w:r>
                </w:p>
              </w:tc>
              <w:tc>
                <w:tcPr>
                  <w:tcW w:w="3777" w:type="dxa"/>
                  <w:tcBorders>
                    <w:left w:val="single" w:color="000000" w:sz="4" w:space="0"/>
                    <w:bottom w:val="single" w:color="000000" w:sz="4" w:space="0"/>
                    <w:right w:val="single" w:color="000000" w:sz="4" w:space="0"/>
                  </w:tcBorders>
                  <w:noWrap w:val="0"/>
                  <w:vAlign w:val="top"/>
                </w:tcPr>
                <w:p>
                  <w:pPr>
                    <w:spacing w:line="300" w:lineRule="exact"/>
                    <w:rPr>
                      <w:rFonts w:hint="eastAsia"/>
                    </w:rPr>
                  </w:pPr>
                  <w:r>
                    <w:rPr>
                      <w:rFonts w:hint="eastAsia"/>
                    </w:rPr>
                    <w:t>计划及时达成</w:t>
                  </w:r>
                </w:p>
              </w:tc>
              <w:tc>
                <w:tcPr>
                  <w:tcW w:w="5036" w:type="dxa"/>
                  <w:tcBorders>
                    <w:left w:val="single" w:color="000000" w:sz="4" w:space="0"/>
                    <w:bottom w:val="single" w:color="000000" w:sz="4" w:space="0"/>
                  </w:tcBorders>
                  <w:noWrap w:val="0"/>
                  <w:vAlign w:val="top"/>
                </w:tcPr>
                <w:p>
                  <w:pPr>
                    <w:spacing w:line="300" w:lineRule="exact"/>
                  </w:pPr>
                  <w:r>
                    <w:rPr>
                      <w:rFonts w:hint="eastAsia"/>
                    </w:rPr>
                    <w:t>生产计划专项跟进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1086" w:type="dxa"/>
                  <w:vMerge w:val="continue"/>
                  <w:tcBorders>
                    <w:top w:val="single" w:color="000000" w:sz="4" w:space="0"/>
                    <w:bottom w:val="single" w:color="000000" w:sz="4" w:space="0"/>
                    <w:right w:val="single" w:color="000000" w:sz="4" w:space="0"/>
                  </w:tcBorders>
                  <w:noWrap w:val="0"/>
                  <w:vAlign w:val="top"/>
                </w:tcPr>
                <w:p>
                  <w:pPr>
                    <w:spacing w:line="300" w:lineRule="exact"/>
                  </w:pP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rPr>
                  </w:pPr>
                  <w:r>
                    <w:rPr>
                      <w:rFonts w:hint="eastAsia"/>
                    </w:rPr>
                    <w:t>各工序周转天数</w:t>
                  </w:r>
                </w:p>
              </w:tc>
              <w:tc>
                <w:tcPr>
                  <w:tcW w:w="5036" w:type="dxa"/>
                  <w:tcBorders>
                    <w:top w:val="single" w:color="000000" w:sz="4" w:space="0"/>
                    <w:left w:val="single" w:color="000000" w:sz="4" w:space="0"/>
                    <w:bottom w:val="single" w:color="000000" w:sz="4" w:space="0"/>
                  </w:tcBorders>
                  <w:noWrap w:val="0"/>
                  <w:vAlign w:val="top"/>
                </w:tcPr>
                <w:p>
                  <w:pPr>
                    <w:spacing w:line="300" w:lineRule="exact"/>
                  </w:pPr>
                  <w:r>
                    <w:rPr>
                      <w:rFonts w:hint="eastAsia"/>
                    </w:rPr>
                    <w:t>产前进行产能预测，制定具体计划，后续按计划跟进。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1086" w:type="dxa"/>
                  <w:vMerge w:val="continue"/>
                  <w:tcBorders>
                    <w:top w:val="single" w:color="000000" w:sz="4" w:space="0"/>
                    <w:bottom w:val="single" w:color="000000" w:sz="4" w:space="0"/>
                    <w:right w:val="single" w:color="000000" w:sz="4" w:space="0"/>
                  </w:tcBorders>
                  <w:noWrap w:val="0"/>
                  <w:vAlign w:val="top"/>
                </w:tcPr>
                <w:p>
                  <w:pPr>
                    <w:spacing w:line="300" w:lineRule="exact"/>
                  </w:pPr>
                </w:p>
              </w:tc>
              <w:tc>
                <w:tcPr>
                  <w:tcW w:w="3777"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rPr>
                  </w:pPr>
                  <w:r>
                    <w:rPr>
                      <w:rFonts w:hint="eastAsia"/>
                    </w:rPr>
                    <w:t>生产效率、产能的利用情况</w:t>
                  </w:r>
                </w:p>
              </w:tc>
              <w:tc>
                <w:tcPr>
                  <w:tcW w:w="5036" w:type="dxa"/>
                  <w:tcBorders>
                    <w:top w:val="single" w:color="000000" w:sz="4" w:space="0"/>
                    <w:left w:val="single" w:color="000000" w:sz="4" w:space="0"/>
                    <w:bottom w:val="single" w:color="000000" w:sz="4" w:space="0"/>
                  </w:tcBorders>
                  <w:noWrap w:val="0"/>
                  <w:vAlign w:val="top"/>
                </w:tcPr>
                <w:p>
                  <w:pPr>
                    <w:spacing w:line="300" w:lineRule="exact"/>
                  </w:pPr>
                  <w:r>
                    <w:rPr>
                      <w:rFonts w:hint="eastAsia"/>
                    </w:rPr>
                    <w:t>合理调配资源，提高设备人员的利用率。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7" w:hRule="atLeast"/>
              </w:trPr>
              <w:tc>
                <w:tcPr>
                  <w:tcW w:w="1086" w:type="dxa"/>
                  <w:vMerge w:val="continue"/>
                  <w:tcBorders>
                    <w:top w:val="single" w:color="000000" w:sz="4" w:space="0"/>
                    <w:bottom w:val="single" w:color="000000" w:sz="4" w:space="0"/>
                    <w:right w:val="single" w:color="000000" w:sz="4" w:space="0"/>
                  </w:tcBorders>
                  <w:noWrap w:val="0"/>
                  <w:vAlign w:val="top"/>
                </w:tcPr>
                <w:p>
                  <w:pPr>
                    <w:spacing w:line="300" w:lineRule="exact"/>
                  </w:pP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rPr>
                  </w:pPr>
                  <w:r>
                    <w:rPr>
                      <w:rFonts w:hint="eastAsia"/>
                    </w:rPr>
                    <w:t>模具、治具管理</w:t>
                  </w:r>
                </w:p>
              </w:tc>
              <w:tc>
                <w:tcPr>
                  <w:tcW w:w="5036" w:type="dxa"/>
                  <w:tcBorders>
                    <w:top w:val="single" w:color="000000" w:sz="4" w:space="0"/>
                    <w:left w:val="single" w:color="000000" w:sz="4" w:space="0"/>
                    <w:bottom w:val="single" w:color="000000" w:sz="4" w:space="0"/>
                  </w:tcBorders>
                  <w:noWrap w:val="0"/>
                  <w:vAlign w:val="top"/>
                </w:tcPr>
                <w:p>
                  <w:pPr>
                    <w:spacing w:line="300" w:lineRule="exact"/>
                    <w:rPr>
                      <w:rFonts w:hint="eastAsia"/>
                    </w:rPr>
                  </w:pPr>
                  <w:r>
                    <w:rPr>
                      <w:rFonts w:hint="eastAsia"/>
                    </w:rPr>
                    <w:t>模具、治具列入设备管理，新模具、重新安装的模具需经首件确认通过，方可使用。</w:t>
                  </w:r>
                </w:p>
                <w:p>
                  <w:pPr>
                    <w:spacing w:line="300" w:lineRule="exact"/>
                  </w:pPr>
                  <w:r>
                    <w:rPr>
                      <w:rFonts w:hint="eastAsia"/>
                    </w:rPr>
                    <w:t>卸模时，要针对产品成型情况确定模具的趋势，及时进行维修和保养。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1086" w:type="dxa"/>
                  <w:vMerge w:val="continue"/>
                  <w:tcBorders>
                    <w:top w:val="single" w:color="000000" w:sz="4" w:space="0"/>
                    <w:bottom w:val="single" w:color="000000" w:sz="4" w:space="0"/>
                    <w:right w:val="single" w:color="000000" w:sz="4" w:space="0"/>
                  </w:tcBorders>
                  <w:noWrap w:val="0"/>
                  <w:vAlign w:val="top"/>
                </w:tcPr>
                <w:p>
                  <w:pPr>
                    <w:spacing w:line="300" w:lineRule="exact"/>
                  </w:pP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rPr>
                  </w:pPr>
                  <w:r>
                    <w:rPr>
                      <w:rFonts w:hint="eastAsia"/>
                    </w:rPr>
                    <w:t>设备维护、维修</w:t>
                  </w:r>
                </w:p>
              </w:tc>
              <w:tc>
                <w:tcPr>
                  <w:tcW w:w="5036" w:type="dxa"/>
                  <w:tcBorders>
                    <w:top w:val="single" w:color="000000" w:sz="4" w:space="0"/>
                    <w:left w:val="single" w:color="000000" w:sz="4" w:space="0"/>
                    <w:bottom w:val="single" w:color="000000" w:sz="4" w:space="0"/>
                  </w:tcBorders>
                  <w:noWrap w:val="0"/>
                  <w:vAlign w:val="top"/>
                </w:tcPr>
                <w:p>
                  <w:pPr>
                    <w:spacing w:line="300" w:lineRule="exact"/>
                  </w:pPr>
                  <w:r>
                    <w:rPr>
                      <w:rFonts w:hint="eastAsia"/>
                    </w:rPr>
                    <w:t>建立各设备的档案，制定保养制度和计划并实施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1086" w:type="dxa"/>
                  <w:vMerge w:val="continue"/>
                  <w:tcBorders>
                    <w:top w:val="single" w:color="000000" w:sz="4" w:space="0"/>
                    <w:bottom w:val="single" w:color="000000" w:sz="4" w:space="0"/>
                    <w:right w:val="single" w:color="000000" w:sz="4" w:space="0"/>
                  </w:tcBorders>
                  <w:noWrap w:val="0"/>
                  <w:vAlign w:val="top"/>
                </w:tcPr>
                <w:p>
                  <w:pPr>
                    <w:spacing w:line="300" w:lineRule="exact"/>
                  </w:pP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rPr>
                  </w:pPr>
                  <w:r>
                    <w:rPr>
                      <w:rFonts w:hint="eastAsia"/>
                    </w:rPr>
                    <w:t>设备资料管理</w:t>
                  </w:r>
                </w:p>
              </w:tc>
              <w:tc>
                <w:tcPr>
                  <w:tcW w:w="5036" w:type="dxa"/>
                  <w:tcBorders>
                    <w:top w:val="single" w:color="000000" w:sz="4" w:space="0"/>
                    <w:left w:val="single" w:color="000000" w:sz="4" w:space="0"/>
                    <w:bottom w:val="single" w:color="000000" w:sz="4" w:space="0"/>
                  </w:tcBorders>
                  <w:noWrap w:val="0"/>
                  <w:vAlign w:val="top"/>
                </w:tcPr>
                <w:p>
                  <w:pPr>
                    <w:spacing w:line="300" w:lineRule="exact"/>
                  </w:pPr>
                  <w:r>
                    <w:rPr>
                      <w:rFonts w:hint="eastAsia"/>
                    </w:rPr>
                    <w:t>收集设备随机文件资料、随机附件等，归档管理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1086" w:type="dxa"/>
                  <w:vMerge w:val="continue"/>
                  <w:tcBorders>
                    <w:top w:val="single" w:color="000000" w:sz="4" w:space="0"/>
                    <w:bottom w:val="single" w:color="000000" w:sz="4" w:space="0"/>
                    <w:right w:val="single" w:color="000000" w:sz="4" w:space="0"/>
                  </w:tcBorders>
                  <w:noWrap w:val="0"/>
                  <w:vAlign w:val="top"/>
                </w:tcPr>
                <w:p>
                  <w:pPr>
                    <w:spacing w:line="300" w:lineRule="exact"/>
                  </w:pP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rPr>
                  </w:pPr>
                  <w:r>
                    <w:rPr>
                      <w:rFonts w:hint="eastAsia"/>
                    </w:rPr>
                    <w:t>设备操作</w:t>
                  </w:r>
                </w:p>
              </w:tc>
              <w:tc>
                <w:tcPr>
                  <w:tcW w:w="5036" w:type="dxa"/>
                  <w:tcBorders>
                    <w:top w:val="single" w:color="000000" w:sz="4" w:space="0"/>
                    <w:left w:val="single" w:color="000000" w:sz="4" w:space="0"/>
                    <w:bottom w:val="single" w:color="000000" w:sz="4" w:space="0"/>
                  </w:tcBorders>
                  <w:noWrap w:val="0"/>
                  <w:vAlign w:val="top"/>
                </w:tcPr>
                <w:p>
                  <w:pPr>
                    <w:spacing w:line="300" w:lineRule="exact"/>
                  </w:pPr>
                  <w:r>
                    <w:rPr>
                      <w:rFonts w:hint="eastAsia"/>
                    </w:rPr>
                    <w:t>实行岗前培训（包括安全知识、操作技能、注意事项、工作内容、异常症状发现等）、试岗/考核、正式上岗、监管。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1086" w:type="dxa"/>
                  <w:vMerge w:val="restart"/>
                  <w:tcBorders>
                    <w:top w:val="double" w:color="auto" w:sz="4" w:space="0"/>
                  </w:tcBorders>
                  <w:noWrap w:val="0"/>
                  <w:vAlign w:val="center"/>
                </w:tcPr>
                <w:p>
                  <w:pPr>
                    <w:spacing w:line="300" w:lineRule="exact"/>
                    <w:jc w:val="center"/>
                    <w:rPr>
                      <w:b/>
                    </w:rPr>
                  </w:pPr>
                  <w:r>
                    <w:rPr>
                      <w:rFonts w:hint="eastAsia"/>
                      <w:b/>
                    </w:rPr>
                    <w:t>财务部</w:t>
                  </w:r>
                </w:p>
              </w:tc>
              <w:tc>
                <w:tcPr>
                  <w:tcW w:w="3777" w:type="dxa"/>
                  <w:tcBorders>
                    <w:top w:val="double" w:color="auto" w:sz="4" w:space="0"/>
                  </w:tcBorders>
                  <w:noWrap w:val="0"/>
                  <w:vAlign w:val="top"/>
                </w:tcPr>
                <w:p>
                  <w:pPr>
                    <w:spacing w:line="300" w:lineRule="exact"/>
                    <w:rPr>
                      <w:rFonts w:hint="eastAsia"/>
                    </w:rPr>
                  </w:pPr>
                  <w:r>
                    <w:rPr>
                      <w:rFonts w:hint="eastAsia"/>
                    </w:rPr>
                    <w:t>报销付款</w:t>
                  </w:r>
                </w:p>
              </w:tc>
              <w:tc>
                <w:tcPr>
                  <w:tcW w:w="5036" w:type="dxa"/>
                  <w:tcBorders>
                    <w:top w:val="double" w:color="auto" w:sz="4" w:space="0"/>
                  </w:tcBorders>
                  <w:noWrap w:val="0"/>
                  <w:vAlign w:val="top"/>
                </w:tcPr>
                <w:p>
                  <w:pPr>
                    <w:spacing w:line="300" w:lineRule="exact"/>
                    <w:rPr>
                      <w:rFonts w:hint="eastAsia"/>
                    </w:rPr>
                  </w:pPr>
                  <w:r>
                    <w:rPr>
                      <w:rFonts w:hint="eastAsia"/>
                    </w:rPr>
                    <w:t>报销审核制度，审核/付款及时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1086" w:type="dxa"/>
                  <w:vMerge w:val="continue"/>
                  <w:noWrap w:val="0"/>
                  <w:vAlign w:val="top"/>
                </w:tcPr>
                <w:p>
                  <w:pPr>
                    <w:spacing w:line="300" w:lineRule="exact"/>
                    <w:rPr>
                      <w:b/>
                    </w:rPr>
                  </w:pPr>
                </w:p>
              </w:tc>
              <w:tc>
                <w:tcPr>
                  <w:tcW w:w="3777" w:type="dxa"/>
                  <w:noWrap w:val="0"/>
                  <w:vAlign w:val="top"/>
                </w:tcPr>
                <w:p>
                  <w:pPr>
                    <w:spacing w:line="300" w:lineRule="exact"/>
                    <w:rPr>
                      <w:rFonts w:hint="eastAsia"/>
                    </w:rPr>
                  </w:pPr>
                  <w:r>
                    <w:rPr>
                      <w:rFonts w:hint="eastAsia"/>
                    </w:rPr>
                    <w:t>应收账款</w:t>
                  </w:r>
                </w:p>
              </w:tc>
              <w:tc>
                <w:tcPr>
                  <w:tcW w:w="5036" w:type="dxa"/>
                  <w:noWrap w:val="0"/>
                  <w:vAlign w:val="top"/>
                </w:tcPr>
                <w:p>
                  <w:pPr>
                    <w:spacing w:line="300" w:lineRule="exact"/>
                    <w:rPr>
                      <w:rFonts w:hint="eastAsia"/>
                    </w:rPr>
                  </w:pPr>
                  <w:r>
                    <w:rPr>
                      <w:rFonts w:hint="eastAsia"/>
                    </w:rPr>
                    <w:t>应收账款列明责任人，及时有效跟催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1086" w:type="dxa"/>
                  <w:vMerge w:val="continue"/>
                  <w:noWrap w:val="0"/>
                  <w:vAlign w:val="top"/>
                </w:tcPr>
                <w:p>
                  <w:pPr>
                    <w:spacing w:line="300" w:lineRule="exact"/>
                    <w:rPr>
                      <w:b/>
                    </w:rPr>
                  </w:pPr>
                </w:p>
              </w:tc>
              <w:tc>
                <w:tcPr>
                  <w:tcW w:w="3777" w:type="dxa"/>
                  <w:noWrap w:val="0"/>
                  <w:vAlign w:val="top"/>
                </w:tcPr>
                <w:p>
                  <w:pPr>
                    <w:spacing w:line="300" w:lineRule="exact"/>
                    <w:rPr>
                      <w:rFonts w:hint="eastAsia"/>
                    </w:rPr>
                  </w:pPr>
                  <w:r>
                    <w:rPr>
                      <w:rFonts w:hint="eastAsia"/>
                    </w:rPr>
                    <w:t>报表数据</w:t>
                  </w:r>
                </w:p>
              </w:tc>
              <w:tc>
                <w:tcPr>
                  <w:tcW w:w="5036" w:type="dxa"/>
                  <w:noWrap w:val="0"/>
                  <w:vAlign w:val="top"/>
                </w:tcPr>
                <w:p>
                  <w:pPr>
                    <w:spacing w:line="300" w:lineRule="exact"/>
                    <w:rPr>
                      <w:rFonts w:hint="eastAsia"/>
                    </w:rPr>
                  </w:pPr>
                  <w:r>
                    <w:rPr>
                      <w:rFonts w:hint="eastAsia"/>
                    </w:rPr>
                    <w:t>提供的报表数据准确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1086" w:type="dxa"/>
                  <w:vMerge w:val="continue"/>
                  <w:tcBorders>
                    <w:bottom w:val="double" w:color="auto" w:sz="4" w:space="0"/>
                  </w:tcBorders>
                  <w:noWrap w:val="0"/>
                  <w:vAlign w:val="top"/>
                </w:tcPr>
                <w:p>
                  <w:pPr>
                    <w:spacing w:line="300" w:lineRule="exact"/>
                    <w:rPr>
                      <w:b/>
                    </w:rPr>
                  </w:pPr>
                </w:p>
              </w:tc>
              <w:tc>
                <w:tcPr>
                  <w:tcW w:w="3777" w:type="dxa"/>
                  <w:tcBorders>
                    <w:bottom w:val="double" w:color="auto" w:sz="4" w:space="0"/>
                  </w:tcBorders>
                  <w:noWrap w:val="0"/>
                  <w:vAlign w:val="top"/>
                </w:tcPr>
                <w:p>
                  <w:pPr>
                    <w:spacing w:line="300" w:lineRule="exact"/>
                    <w:rPr>
                      <w:rFonts w:hint="eastAsia"/>
                    </w:rPr>
                  </w:pPr>
                  <w:r>
                    <w:rPr>
                      <w:rFonts w:hint="eastAsia"/>
                    </w:rPr>
                    <w:t>网络管理</w:t>
                  </w:r>
                </w:p>
              </w:tc>
              <w:tc>
                <w:tcPr>
                  <w:tcW w:w="5036" w:type="dxa"/>
                  <w:tcBorders>
                    <w:bottom w:val="double" w:color="auto" w:sz="4" w:space="0"/>
                  </w:tcBorders>
                  <w:noWrap w:val="0"/>
                  <w:vAlign w:val="top"/>
                </w:tcPr>
                <w:p>
                  <w:pPr>
                    <w:spacing w:line="300" w:lineRule="exact"/>
                    <w:rPr>
                      <w:rFonts w:hint="eastAsia"/>
                    </w:rPr>
                  </w:pPr>
                  <w:r>
                    <w:rPr>
                      <w:rFonts w:hint="eastAsia"/>
                    </w:rPr>
                    <w:t>网络安全、软硬件维护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trPr>
              <w:tc>
                <w:tcPr>
                  <w:tcW w:w="1086" w:type="dxa"/>
                  <w:noWrap w:val="0"/>
                  <w:vAlign w:val="center"/>
                </w:tcPr>
                <w:p>
                  <w:pPr>
                    <w:spacing w:line="300" w:lineRule="exact"/>
                    <w:jc w:val="center"/>
                    <w:rPr>
                      <w:b/>
                    </w:rPr>
                  </w:pPr>
                  <w:r>
                    <w:rPr>
                      <w:rFonts w:hint="eastAsia"/>
                      <w:b/>
                    </w:rPr>
                    <w:t>公司经营层面</w:t>
                  </w:r>
                </w:p>
              </w:tc>
              <w:tc>
                <w:tcPr>
                  <w:tcW w:w="3777" w:type="dxa"/>
                  <w:noWrap w:val="0"/>
                  <w:vAlign w:val="top"/>
                </w:tcPr>
                <w:p>
                  <w:pPr>
                    <w:spacing w:line="300" w:lineRule="exact"/>
                    <w:rPr>
                      <w:rFonts w:hint="eastAsia"/>
                    </w:rPr>
                  </w:pPr>
                  <w:r>
                    <w:rPr>
                      <w:rFonts w:hint="eastAsia"/>
                    </w:rPr>
                    <w:t>计划和任务定义不够充分</w:t>
                  </w:r>
                </w:p>
              </w:tc>
              <w:tc>
                <w:tcPr>
                  <w:tcW w:w="5036" w:type="dxa"/>
                  <w:noWrap w:val="0"/>
                  <w:vAlign w:val="center"/>
                </w:tcPr>
                <w:p>
                  <w:pPr>
                    <w:spacing w:line="300" w:lineRule="exact"/>
                    <w:jc w:val="left"/>
                    <w:rPr>
                      <w:rFonts w:hint="eastAsia"/>
                    </w:rPr>
                  </w:pPr>
                  <w:r>
                    <w:rPr>
                      <w:rFonts w:hint="eastAsia"/>
                    </w:rPr>
                    <w:t>明确规定前后顺序、明确职责权限、建立健全沟通机制（制度化）。</w:t>
                  </w:r>
                </w:p>
                <w:p>
                  <w:pPr>
                    <w:spacing w:line="300" w:lineRule="exact"/>
                    <w:jc w:val="left"/>
                  </w:pPr>
                  <w:r>
                    <w:rPr>
                      <w:rFonts w:hint="eastAsia"/>
                    </w:rPr>
                    <w:t>审时度势，果断机敏。</w:t>
                  </w:r>
                </w:p>
              </w:tc>
            </w:tr>
          </w:tbl>
          <w:p>
            <w:pPr>
              <w:pStyle w:val="13"/>
              <w:spacing w:line="276" w:lineRule="auto"/>
              <w:rPr>
                <w:rFonts w:hint="eastAsia"/>
                <w:lang w:val="en-US" w:eastAsia="zh-CN"/>
              </w:rPr>
            </w:pPr>
          </w:p>
          <w:p>
            <w:pPr>
              <w:pStyle w:val="13"/>
              <w:spacing w:line="276" w:lineRule="auto"/>
            </w:pPr>
            <w:r>
              <w:rPr>
                <w:rFonts w:hint="eastAsia"/>
                <w:lang w:val="en-US" w:eastAsia="zh-CN"/>
              </w:rPr>
              <w:t>---</w:t>
            </w:r>
            <w:r>
              <w:rPr>
                <w:rFonts w:hint="eastAsia"/>
              </w:rPr>
              <w:t>变更的策划：</w:t>
            </w:r>
          </w:p>
          <w:p>
            <w:pPr>
              <w:pStyle w:val="14"/>
              <w:ind w:firstLine="420" w:firstLineChars="200"/>
              <w:rPr>
                <w:rFonts w:hint="default" w:asciiTheme="minorEastAsia" w:hAnsiTheme="minorEastAsia" w:eastAsiaTheme="minorEastAsia"/>
                <w:lang w:val="en-US" w:eastAsia="zh-CN"/>
              </w:rPr>
            </w:pPr>
            <w:r>
              <w:rPr>
                <w:rFonts w:hint="eastAsia" w:asciiTheme="minorEastAsia" w:hAnsiTheme="minorEastAsia" w:eastAsiaTheme="minorEastAsia"/>
              </w:rPr>
              <w:t>总经理介绍，</w:t>
            </w:r>
            <w:r>
              <w:rPr>
                <w:rFonts w:hint="eastAsia" w:asciiTheme="minorEastAsia" w:hAnsiTheme="minorEastAsia" w:eastAsiaTheme="minorEastAsia"/>
                <w:lang w:val="en-US" w:eastAsia="zh-CN"/>
              </w:rPr>
              <w:t>体系与上审核年度无变化。</w:t>
            </w:r>
          </w:p>
          <w:p>
            <w:r>
              <w:rPr>
                <w:rFonts w:hint="eastAsia" w:asciiTheme="minorEastAsia" w:hAnsiTheme="minorEastAsia" w:eastAsiaTheme="minorEastAsia"/>
              </w:rPr>
              <w:t>——年度保持基本满足要求。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管理体系范围确定的适宜性和充分性及体系过程</w:t>
            </w:r>
          </w:p>
        </w:tc>
        <w:tc>
          <w:tcPr>
            <w:tcW w:w="960" w:type="dxa"/>
          </w:tcPr>
          <w:p>
            <w:r>
              <w:rPr>
                <w:rFonts w:hint="eastAsia"/>
              </w:rPr>
              <w:t>4.3、4.4</w:t>
            </w:r>
          </w:p>
        </w:tc>
        <w:tc>
          <w:tcPr>
            <w:tcW w:w="10004" w:type="dxa"/>
          </w:tcPr>
          <w:p>
            <w:pPr>
              <w:pStyle w:val="13"/>
              <w:spacing w:line="276" w:lineRule="auto"/>
              <w:rPr>
                <w:rFonts w:asciiTheme="minorEastAsia" w:hAnsiTheme="minorEastAsia" w:eastAsiaTheme="minorEastAsia"/>
              </w:rPr>
            </w:pPr>
            <w:r>
              <w:rPr>
                <w:rFonts w:hint="eastAsia" w:asciiTheme="minorEastAsia" w:hAnsiTheme="minorEastAsia" w:eastAsiaTheme="minorEastAsia"/>
              </w:rPr>
              <w:t>经确认：</w:t>
            </w:r>
          </w:p>
          <w:p>
            <w:pPr>
              <w:pStyle w:val="13"/>
              <w:spacing w:line="276" w:lineRule="auto"/>
              <w:rPr>
                <w:rFonts w:asciiTheme="minorEastAsia" w:hAnsiTheme="minorEastAsia" w:eastAsiaTheme="minorEastAsia"/>
              </w:rPr>
            </w:pPr>
            <w:r>
              <w:rPr>
                <w:rFonts w:hint="eastAsia" w:asciiTheme="minorEastAsia" w:hAnsiTheme="minorEastAsia" w:eastAsiaTheme="minorEastAsia"/>
              </w:rPr>
              <w:t>QMS范围：汽车轮彀单元、轴承内外圈的加工及销售。</w:t>
            </w:r>
          </w:p>
          <w:p>
            <w:pPr>
              <w:pStyle w:val="13"/>
              <w:spacing w:line="276" w:lineRule="auto"/>
              <w:rPr>
                <w:rFonts w:asciiTheme="minorEastAsia" w:hAnsiTheme="minorEastAsia" w:eastAsiaTheme="minorEastAsia"/>
              </w:rPr>
            </w:pPr>
            <w:r>
              <w:rPr>
                <w:rFonts w:hint="eastAsia" w:asciiTheme="minorEastAsia" w:hAnsiTheme="minorEastAsia" w:eastAsiaTheme="minorEastAsia"/>
              </w:rPr>
              <w:t>范围边界：</w:t>
            </w:r>
            <w:r>
              <w:rPr>
                <w:rFonts w:hint="eastAsia"/>
              </w:rPr>
              <w:t>襄阳市高新区新风路6号襄阳鹰牌轴承院内</w:t>
            </w:r>
            <w:r>
              <w:rPr>
                <w:rFonts w:hint="eastAsia" w:asciiTheme="minorEastAsia" w:hAnsiTheme="minorEastAsia" w:eastAsiaTheme="minorEastAsia"/>
              </w:rPr>
              <w:t>。</w:t>
            </w:r>
          </w:p>
          <w:p>
            <w:pPr>
              <w:spacing w:line="276" w:lineRule="auto"/>
              <w:jc w:val="left"/>
              <w:rPr>
                <w:rFonts w:ascii="宋体" w:hAnsi="宋体" w:cs="宋体"/>
                <w:szCs w:val="21"/>
              </w:rPr>
            </w:pPr>
            <w:r>
              <w:rPr>
                <w:rFonts w:hint="eastAsia" w:ascii="宋体" w:hAnsi="宋体" w:cs="宋体"/>
                <w:szCs w:val="21"/>
              </w:rPr>
              <w:t>经识别和确认外包过程：</w:t>
            </w:r>
            <w:r>
              <w:rPr>
                <w:rFonts w:hint="eastAsia" w:ascii="宋体" w:hAnsi="宋体" w:cs="宋体"/>
                <w:kern w:val="0"/>
                <w:szCs w:val="21"/>
              </w:rPr>
              <w:t>公司产品均为</w:t>
            </w:r>
            <w:r>
              <w:rPr>
                <w:rFonts w:hint="eastAsia" w:ascii="宋体" w:hAnsi="宋体" w:cs="宋体"/>
                <w:kern w:val="0"/>
                <w:szCs w:val="21"/>
                <w:lang w:val="en-US" w:eastAsia="zh-CN"/>
              </w:rPr>
              <w:t>一般</w:t>
            </w:r>
            <w:r>
              <w:rPr>
                <w:rFonts w:hint="eastAsia" w:ascii="宋体" w:hAnsi="宋体" w:cs="宋体"/>
                <w:kern w:val="0"/>
                <w:szCs w:val="21"/>
              </w:rPr>
              <w:t>加</w:t>
            </w:r>
            <w:r>
              <w:rPr>
                <w:rFonts w:hint="eastAsia" w:ascii="宋体" w:hAnsi="宋体" w:cs="宋体"/>
                <w:kern w:val="0"/>
                <w:szCs w:val="21"/>
                <w:lang w:val="en-US" w:eastAsia="zh-CN"/>
              </w:rPr>
              <w:t>工</w:t>
            </w:r>
            <w:r>
              <w:rPr>
                <w:rFonts w:hint="eastAsia" w:ascii="宋体" w:hAnsi="宋体" w:cs="宋体"/>
                <w:kern w:val="0"/>
                <w:szCs w:val="21"/>
              </w:rPr>
              <w:t>生产，暂无外包过程发生</w:t>
            </w:r>
            <w:r>
              <w:rPr>
                <w:rFonts w:hint="eastAsia" w:ascii="宋体" w:hAnsi="宋体" w:cs="宋体"/>
                <w:szCs w:val="21"/>
              </w:rPr>
              <w:t>。</w:t>
            </w:r>
          </w:p>
          <w:p>
            <w:pPr>
              <w:pStyle w:val="13"/>
              <w:spacing w:line="276" w:lineRule="auto"/>
              <w:rPr>
                <w:rFonts w:asciiTheme="minorEastAsia" w:hAnsiTheme="minorEastAsia" w:eastAsiaTheme="minorEastAsia"/>
              </w:rPr>
            </w:pPr>
            <w:r>
              <w:rPr>
                <w:rFonts w:hint="eastAsia" w:asciiTheme="minorEastAsia" w:hAnsiTheme="minorEastAsia" w:eastAsiaTheme="minorEastAsia"/>
              </w:rPr>
              <w:t>主要生产及销售过程为：</w:t>
            </w:r>
          </w:p>
          <w:p>
            <w:pPr>
              <w:pStyle w:val="16"/>
              <w:numPr>
                <w:ilvl w:val="0"/>
                <w:numId w:val="0"/>
              </w:numPr>
              <w:ind w:leftChars="0"/>
              <w:rPr>
                <w:rFonts w:hint="eastAsia"/>
                <w:lang w:val="en-US" w:eastAsia="zh-CN"/>
              </w:rPr>
            </w:pPr>
            <w:r>
              <w:rPr>
                <w:rFonts w:hint="eastAsia"/>
                <w:lang w:val="en-US" w:eastAsia="zh-CN"/>
              </w:rPr>
              <w:t>生产：签订合同——采购原材料——金属加工制造（车、钻、加工中心）——检验——入库</w:t>
            </w:r>
          </w:p>
          <w:p>
            <w:pPr>
              <w:pStyle w:val="13"/>
              <w:spacing w:line="276" w:lineRule="auto"/>
              <w:rPr>
                <w:rFonts w:hint="eastAsia" w:eastAsia="宋体" w:asciiTheme="minorEastAsia" w:hAnsiTheme="minorEastAsia"/>
                <w:lang w:eastAsia="zh-CN"/>
              </w:rPr>
            </w:pPr>
            <w:r>
              <w:rPr>
                <w:rFonts w:hint="eastAsia" w:cs="宋体" w:asciiTheme="minorEastAsia" w:hAnsiTheme="minorEastAsia" w:eastAsiaTheme="minorEastAsia"/>
                <w:szCs w:val="21"/>
                <w:lang w:val="en-US" w:eastAsia="zh-CN"/>
              </w:rPr>
              <w:t>销售：</w:t>
            </w:r>
            <w:r>
              <w:rPr>
                <w:rFonts w:hint="eastAsia" w:cs="宋体" w:asciiTheme="minorEastAsia" w:hAnsiTheme="minorEastAsia" w:eastAsiaTheme="minorEastAsia"/>
                <w:szCs w:val="21"/>
              </w:rPr>
              <w:t>客户</w:t>
            </w:r>
            <w:r>
              <w:rPr>
                <w:rFonts w:hint="eastAsia" w:cs="宋体" w:asciiTheme="minorEastAsia" w:hAnsiTheme="minorEastAsia" w:eastAsiaTheme="minorEastAsia"/>
                <w:szCs w:val="21"/>
                <w:lang w:val="en-US" w:eastAsia="zh-CN"/>
              </w:rPr>
              <w:t>接洽</w:t>
            </w:r>
            <w:r>
              <w:rPr>
                <w:rFonts w:hint="eastAsia"/>
                <w:sz w:val="21"/>
                <w:szCs w:val="21"/>
              </w:rPr>
              <w:t>－－</w:t>
            </w:r>
            <w:r>
              <w:rPr>
                <w:rFonts w:hint="eastAsia" w:cs="宋体" w:asciiTheme="minorEastAsia" w:hAnsiTheme="minorEastAsia" w:eastAsiaTheme="minorEastAsia"/>
                <w:szCs w:val="21"/>
              </w:rPr>
              <w:t>签订合同</w:t>
            </w:r>
            <w:r>
              <w:rPr>
                <w:rFonts w:hint="eastAsia"/>
                <w:sz w:val="21"/>
                <w:szCs w:val="21"/>
              </w:rPr>
              <w:t>－－</w:t>
            </w:r>
            <w:r>
              <w:rPr>
                <w:rFonts w:hint="eastAsia"/>
                <w:sz w:val="21"/>
                <w:szCs w:val="21"/>
                <w:lang w:val="en-US" w:eastAsia="zh-CN"/>
              </w:rPr>
              <w:t>销售服务</w:t>
            </w:r>
            <w:r>
              <w:rPr>
                <w:rFonts w:hint="eastAsia"/>
                <w:sz w:val="21"/>
                <w:szCs w:val="21"/>
              </w:rPr>
              <w:t>－－</w:t>
            </w:r>
            <w:r>
              <w:rPr>
                <w:rFonts w:hint="eastAsia"/>
                <w:color w:val="000000"/>
                <w:szCs w:val="22"/>
                <w:lang w:eastAsia="zh-CN"/>
              </w:rPr>
              <w:t>验收交付</w:t>
            </w:r>
          </w:p>
          <w:p>
            <w:r>
              <w:rPr>
                <w:rFonts w:hint="eastAsia" w:ascii="宋体" w:hAnsi="宋体" w:cs="宋体"/>
                <w:szCs w:val="21"/>
              </w:rPr>
              <w:t>——上述经本次</w:t>
            </w:r>
            <w:r>
              <w:rPr>
                <w:rFonts w:hint="eastAsia" w:ascii="宋体" w:hAnsi="宋体" w:cs="宋体"/>
                <w:szCs w:val="21"/>
                <w:lang w:val="en-US" w:eastAsia="zh-CN"/>
              </w:rPr>
              <w:t>远程</w:t>
            </w:r>
            <w:r>
              <w:rPr>
                <w:rFonts w:hint="eastAsia" w:ascii="宋体" w:hAnsi="宋体" w:cs="宋体"/>
                <w:szCs w:val="21"/>
              </w:rPr>
              <w:t>审核确认有效。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rPr>
              <w:t>组织方针、目标建立的适宜性和实施的有效性</w:t>
            </w:r>
          </w:p>
        </w:tc>
        <w:tc>
          <w:tcPr>
            <w:tcW w:w="960" w:type="dxa"/>
          </w:tcPr>
          <w:p>
            <w:r>
              <w:rPr>
                <w:rFonts w:hint="eastAsia"/>
              </w:rPr>
              <w:t>5.2、6.2</w:t>
            </w:r>
          </w:p>
        </w:tc>
        <w:tc>
          <w:tcPr>
            <w:tcW w:w="10004" w:type="dxa"/>
          </w:tcPr>
          <w:p>
            <w:pPr>
              <w:pStyle w:val="14"/>
            </w:pPr>
            <w:r>
              <w:rPr>
                <w:rFonts w:hint="eastAsia"/>
                <w:lang w:val="en-US" w:eastAsia="zh-CN"/>
              </w:rPr>
              <w:t>---</w:t>
            </w:r>
            <w:r>
              <w:rPr>
                <w:rFonts w:hint="eastAsia"/>
              </w:rPr>
              <w:t>在管理手册中建立公司的质量、环境和职业健康安全管理方针和目标，基本适宜。</w:t>
            </w:r>
          </w:p>
          <w:p>
            <w:pPr>
              <w:pStyle w:val="14"/>
            </w:pPr>
            <w:r>
              <w:rPr>
                <w:rFonts w:hint="eastAsia"/>
                <w:lang w:val="en-US" w:eastAsia="zh-CN"/>
              </w:rPr>
              <w:t>---精益求精、质量第一、顾客满意。——</w:t>
            </w:r>
            <w:r>
              <w:rPr>
                <w:rFonts w:hint="eastAsia"/>
              </w:rPr>
              <w:t>质量方针与公司战略相适宜。</w:t>
            </w:r>
          </w:p>
          <w:p>
            <w:pPr>
              <w:pStyle w:val="14"/>
            </w:pPr>
            <w:r>
              <w:rPr>
                <w:rFonts w:hint="eastAsia"/>
                <w:lang w:val="en-US" w:eastAsia="zh-CN"/>
              </w:rPr>
              <w:t>--- 产品一次交检合格率≥90%；顾客满意率≥92分。——</w:t>
            </w:r>
            <w:r>
              <w:rPr>
                <w:rFonts w:hint="eastAsia"/>
              </w:rPr>
              <w:t>目标可测量。</w:t>
            </w:r>
          </w:p>
          <w:p>
            <w:pPr>
              <w:pStyle w:val="14"/>
            </w:pPr>
            <w:r>
              <w:rPr>
                <w:rFonts w:hint="eastAsia"/>
                <w:lang w:val="en-US" w:eastAsia="zh-CN"/>
              </w:rPr>
              <w:t>---</w:t>
            </w:r>
            <w:r>
              <w:rPr>
                <w:rFonts w:hint="eastAsia"/>
              </w:rPr>
              <w:t>通过发放文件、会议（每周部门会议，每月公司会议）、培训等方式向员工传达，使得员工理解和应用。</w:t>
            </w:r>
          </w:p>
          <w:p>
            <w:pPr>
              <w:pStyle w:val="14"/>
            </w:pPr>
            <w:r>
              <w:rPr>
                <w:rFonts w:hint="eastAsia"/>
                <w:lang w:val="en-US" w:eastAsia="zh-CN"/>
              </w:rPr>
              <w:t>---</w:t>
            </w:r>
            <w:r>
              <w:rPr>
                <w:rFonts w:hint="eastAsia"/>
              </w:rPr>
              <w:t>建立管理体系，以实现公司的目标。</w:t>
            </w:r>
          </w:p>
          <w:p>
            <w:pPr>
              <w:pStyle w:val="14"/>
            </w:pPr>
            <w:r>
              <w:rPr>
                <w:rFonts w:hint="eastAsia"/>
                <w:lang w:val="en-US" w:eastAsia="zh-CN"/>
              </w:rPr>
              <w:t>---</w:t>
            </w:r>
            <w:r>
              <w:rPr>
                <w:rFonts w:hint="eastAsia"/>
              </w:rPr>
              <w:t>管理评审中对适宜性进行评审。</w:t>
            </w:r>
          </w:p>
          <w:p>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控制基本满足要求。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0" w:hRule="atLeast"/>
        </w:trPr>
        <w:tc>
          <w:tcPr>
            <w:tcW w:w="2160" w:type="dxa"/>
          </w:tcPr>
          <w:p>
            <w:pPr>
              <w:rPr>
                <w:rFonts w:hint="eastAsia" w:ascii="宋体" w:hAnsi="宋体"/>
              </w:rPr>
            </w:pPr>
            <w:r>
              <w:rPr>
                <w:rFonts w:hint="eastAsia"/>
              </w:rPr>
              <w:t>组织架构及职责分配的适宜性</w:t>
            </w:r>
          </w:p>
        </w:tc>
        <w:tc>
          <w:tcPr>
            <w:tcW w:w="960" w:type="dxa"/>
          </w:tcPr>
          <w:p>
            <w:pPr>
              <w:rPr>
                <w:rFonts w:hint="default" w:eastAsia="宋体"/>
                <w:lang w:val="en-US" w:eastAsia="zh-CN"/>
              </w:rPr>
            </w:pPr>
            <w:r>
              <w:rPr>
                <w:rFonts w:hint="eastAsia"/>
                <w:lang w:val="en-US" w:eastAsia="zh-CN"/>
              </w:rPr>
              <w:t>5.3</w:t>
            </w:r>
          </w:p>
        </w:tc>
        <w:tc>
          <w:tcPr>
            <w:tcW w:w="10004" w:type="dxa"/>
          </w:tcPr>
          <w:p>
            <w:pPr>
              <w:spacing w:line="276" w:lineRule="auto"/>
              <w:jc w:val="left"/>
              <w:rPr>
                <w:rFonts w:ascii="宋体" w:hAnsi="宋体" w:cs="宋体"/>
                <w:szCs w:val="21"/>
              </w:rPr>
            </w:pPr>
            <w:r>
              <w:rPr>
                <w:rFonts w:hint="eastAsia" w:ascii="宋体" w:hAnsi="宋体" w:cs="宋体"/>
                <w:szCs w:val="21"/>
                <w:lang w:val="en-US" w:eastAsia="zh-CN"/>
              </w:rPr>
              <w:t>---</w:t>
            </w:r>
            <w:r>
              <w:rPr>
                <w:rFonts w:hint="eastAsia" w:ascii="宋体" w:hAnsi="宋体" w:cs="宋体"/>
                <w:szCs w:val="21"/>
              </w:rPr>
              <w:t>核查其组织架构为：总经理为最高领导，下设</w:t>
            </w:r>
            <w:r>
              <w:rPr>
                <w:rFonts w:hint="eastAsia" w:ascii="宋体" w:hAnsi="宋体" w:cs="宋体"/>
                <w:szCs w:val="21"/>
                <w:lang w:val="en-US" w:eastAsia="zh-CN"/>
              </w:rPr>
              <w:t>办公室</w:t>
            </w:r>
            <w:r>
              <w:rPr>
                <w:rFonts w:hint="eastAsia" w:ascii="宋体" w:hAnsi="宋体" w:cs="宋体"/>
                <w:szCs w:val="21"/>
              </w:rPr>
              <w:t>、</w:t>
            </w:r>
            <w:r>
              <w:rPr>
                <w:rFonts w:hint="eastAsia" w:ascii="宋体" w:hAnsi="宋体" w:cs="宋体"/>
                <w:szCs w:val="21"/>
                <w:lang w:val="en-US" w:eastAsia="zh-CN"/>
              </w:rPr>
              <w:t>业务</w:t>
            </w:r>
            <w:r>
              <w:rPr>
                <w:rFonts w:hint="eastAsia" w:ascii="宋体" w:hAnsi="宋体" w:cs="宋体"/>
                <w:szCs w:val="21"/>
              </w:rPr>
              <w:t>部、生</w:t>
            </w:r>
            <w:r>
              <w:rPr>
                <w:rFonts w:hint="eastAsia" w:ascii="宋体" w:hAnsi="宋体" w:cs="宋体"/>
                <w:szCs w:val="21"/>
                <w:lang w:val="en-US" w:eastAsia="zh-CN"/>
              </w:rPr>
              <w:t>产</w:t>
            </w:r>
            <w:r>
              <w:rPr>
                <w:rFonts w:hint="eastAsia" w:ascii="宋体" w:hAnsi="宋体" w:cs="宋体"/>
                <w:szCs w:val="21"/>
              </w:rPr>
              <w:t>部、</w:t>
            </w:r>
            <w:r>
              <w:rPr>
                <w:rFonts w:hint="eastAsia" w:ascii="宋体" w:hAnsi="宋体" w:cs="宋体"/>
                <w:szCs w:val="21"/>
                <w:lang w:val="en-US" w:eastAsia="zh-CN"/>
              </w:rPr>
              <w:t>品质</w:t>
            </w:r>
            <w:r>
              <w:rPr>
                <w:rFonts w:hint="eastAsia" w:ascii="宋体" w:hAnsi="宋体" w:cs="宋体"/>
                <w:szCs w:val="21"/>
              </w:rPr>
              <w:t>部等主要职能部门。从部门设置上来看，其涵括了公司产品经营全过程以及体系支持过程，无过程职责管理遗漏。组织架构稳定，职责分配适宜。</w:t>
            </w:r>
          </w:p>
          <w:p>
            <w:pPr>
              <w:spacing w:line="276" w:lineRule="auto"/>
              <w:jc w:val="left"/>
              <w:rPr>
                <w:rFonts w:ascii="宋体" w:hAnsi="宋体" w:cs="宋体"/>
                <w:szCs w:val="21"/>
              </w:rPr>
            </w:pPr>
            <w:r>
              <w:rPr>
                <w:rFonts w:hint="eastAsia" w:ascii="宋体" w:hAnsi="宋体" w:cs="宋体"/>
                <w:szCs w:val="21"/>
                <w:lang w:val="en-US" w:eastAsia="zh-CN"/>
              </w:rPr>
              <w:t>---</w:t>
            </w:r>
            <w:r>
              <w:rPr>
                <w:rFonts w:hint="eastAsia" w:ascii="宋体" w:hAnsi="宋体" w:cs="宋体"/>
                <w:szCs w:val="21"/>
              </w:rPr>
              <w:t>核查其体系建设以</w:t>
            </w:r>
            <w:r>
              <w:rPr>
                <w:rFonts w:hint="eastAsia" w:ascii="宋体" w:hAnsi="宋体" w:cs="宋体"/>
                <w:szCs w:val="21"/>
                <w:lang w:val="en-US" w:eastAsia="zh-CN"/>
              </w:rPr>
              <w:t>行政</w:t>
            </w:r>
            <w:r>
              <w:rPr>
                <w:rFonts w:hint="eastAsia" w:ascii="宋体" w:hAnsi="宋体" w:cs="宋体"/>
                <w:szCs w:val="21"/>
              </w:rPr>
              <w:t>部为主导部门，其它各部门在其职责范围进行有效配合，在主管领导的指挥下，在</w:t>
            </w:r>
            <w:r>
              <w:rPr>
                <w:rFonts w:hint="eastAsia" w:ascii="宋体" w:hAnsi="宋体" w:cs="宋体"/>
                <w:szCs w:val="21"/>
                <w:lang w:val="en-US" w:eastAsia="zh-CN"/>
              </w:rPr>
              <w:t>行政</w:t>
            </w:r>
            <w:r>
              <w:rPr>
                <w:rFonts w:hint="eastAsia" w:ascii="宋体" w:hAnsi="宋体" w:cs="宋体"/>
                <w:szCs w:val="21"/>
              </w:rPr>
              <w:t>部的统一协调下，组织实施质量体系策划、监督运行管理、综合绩效监控，同时各部门承担相应的业务过程中的质量责任。这些职能分配过程中充分考虑了质量共性要求，并在职责文件中进行了有效整合。</w:t>
            </w:r>
          </w:p>
          <w:p>
            <w:pPr>
              <w:rPr>
                <w:rFonts w:hint="eastAsia" w:asciiTheme="minorEastAsia" w:hAnsiTheme="minorEastAsia" w:eastAsiaTheme="minorEastAsia"/>
                <w:szCs w:val="21"/>
                <w:lang w:eastAsia="zh-CN"/>
              </w:rPr>
            </w:pPr>
            <w:r>
              <w:rPr>
                <w:rFonts w:hint="eastAsia" w:ascii="宋体" w:hAnsi="宋体" w:cs="宋体"/>
                <w:szCs w:val="21"/>
              </w:rPr>
              <w:t>——管理职责分配适宜，体系职责整合程度较高。</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0" w:hRule="atLeast"/>
        </w:trPr>
        <w:tc>
          <w:tcPr>
            <w:tcW w:w="2160" w:type="dxa"/>
          </w:tcPr>
          <w:p>
            <w:pPr>
              <w:rPr>
                <w:rFonts w:hint="eastAsia" w:ascii="宋体" w:hAnsi="宋体"/>
              </w:rPr>
            </w:pPr>
            <w:r>
              <w:rPr>
                <w:rFonts w:hint="eastAsia" w:ascii="宋体" w:hAnsi="宋体"/>
              </w:rPr>
              <w:t>管理评审的实施及作用</w:t>
            </w:r>
          </w:p>
        </w:tc>
        <w:tc>
          <w:tcPr>
            <w:tcW w:w="960" w:type="dxa"/>
          </w:tcPr>
          <w:p>
            <w:pPr>
              <w:rPr>
                <w:rFonts w:hint="default" w:eastAsia="宋体"/>
                <w:lang w:val="en-US" w:eastAsia="zh-CN"/>
              </w:rPr>
            </w:pPr>
            <w:r>
              <w:rPr>
                <w:rFonts w:hint="eastAsia"/>
                <w:lang w:val="en-US" w:eastAsia="zh-CN"/>
              </w:rPr>
              <w:t>9.3</w:t>
            </w:r>
          </w:p>
        </w:tc>
        <w:tc>
          <w:tcPr>
            <w:tcW w:w="10004" w:type="dxa"/>
          </w:tcPr>
          <w:p>
            <w:pPr>
              <w:pStyle w:val="14"/>
              <w:spacing w:line="240" w:lineRule="auto"/>
              <w:rPr>
                <w:rFonts w:hint="eastAsia" w:ascii="Times New Roman" w:hAnsi="Times New Roman" w:eastAsia="宋体"/>
                <w:b w:val="0"/>
                <w:bCs w:val="0"/>
                <w:sz w:val="21"/>
                <w:szCs w:val="21"/>
                <w:highlight w:val="none"/>
                <w:lang w:val="en-US" w:eastAsia="zh-CN"/>
              </w:rPr>
            </w:pPr>
            <w:r>
              <w:rPr>
                <w:rFonts w:hint="eastAsia" w:ascii="Times New Roman" w:hAnsi="Times New Roman"/>
                <w:b w:val="0"/>
                <w:bCs w:val="0"/>
                <w:sz w:val="21"/>
                <w:szCs w:val="21"/>
                <w:highlight w:val="none"/>
                <w:lang w:val="en-US" w:eastAsia="zh-CN"/>
              </w:rPr>
              <w:t>策划有《</w:t>
            </w:r>
            <w:r>
              <w:rPr>
                <w:rFonts w:hint="eastAsia" w:ascii="宋体" w:hAnsi="宋体"/>
                <w:b w:val="0"/>
                <w:bCs w:val="0"/>
                <w:color w:val="auto"/>
                <w:sz w:val="21"/>
                <w:szCs w:val="21"/>
                <w:highlight w:val="none"/>
              </w:rPr>
              <w:t>管理评审控制程序</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规定了控制准则</w:t>
            </w:r>
            <w:r>
              <w:rPr>
                <w:rFonts w:hint="eastAsia" w:ascii="宋体" w:hAnsi="宋体"/>
                <w:b w:val="0"/>
                <w:bCs w:val="0"/>
                <w:color w:val="auto"/>
                <w:sz w:val="21"/>
                <w:szCs w:val="21"/>
                <w:highlight w:val="none"/>
                <w:lang w:eastAsia="zh-CN"/>
              </w:rPr>
              <w:t>。</w:t>
            </w:r>
          </w:p>
          <w:p>
            <w:pPr>
              <w:pStyle w:val="14"/>
              <w:spacing w:line="240" w:lineRule="auto"/>
              <w:rPr>
                <w:rFonts w:hint="default" w:ascii="Times New Roman" w:hAnsi="Times New Roman" w:eastAsia="宋体"/>
                <w:b w:val="0"/>
                <w:bCs w:val="0"/>
                <w:sz w:val="21"/>
                <w:szCs w:val="21"/>
                <w:highlight w:val="none"/>
                <w:lang w:val="en-US" w:eastAsia="zh-CN"/>
              </w:rPr>
            </w:pPr>
            <w:r>
              <w:rPr>
                <w:rFonts w:hint="eastAsia" w:ascii="Times New Roman" w:hAnsi="Times New Roman"/>
                <w:b w:val="0"/>
                <w:bCs w:val="0"/>
                <w:sz w:val="21"/>
                <w:szCs w:val="21"/>
                <w:highlight w:val="none"/>
              </w:rPr>
              <w:t>公司在2</w:t>
            </w:r>
            <w:r>
              <w:rPr>
                <w:rFonts w:ascii="Times New Roman" w:hAnsi="Times New Roman"/>
                <w:b w:val="0"/>
                <w:bCs w:val="0"/>
                <w:sz w:val="21"/>
                <w:szCs w:val="21"/>
                <w:highlight w:val="none"/>
              </w:rPr>
              <w:t>02</w:t>
            </w:r>
            <w:r>
              <w:rPr>
                <w:rFonts w:hint="eastAsia" w:ascii="Times New Roman" w:hAnsi="Times New Roman"/>
                <w:b w:val="0"/>
                <w:bCs w:val="0"/>
                <w:sz w:val="21"/>
                <w:szCs w:val="21"/>
                <w:highlight w:val="none"/>
                <w:lang w:val="en-US" w:eastAsia="zh-CN"/>
              </w:rPr>
              <w:t>2.1.25.计划，2022.1.29..实施</w:t>
            </w:r>
            <w:r>
              <w:rPr>
                <w:rFonts w:hint="eastAsia" w:ascii="Times New Roman" w:hAnsi="Times New Roman"/>
                <w:b w:val="0"/>
                <w:bCs w:val="0"/>
                <w:sz w:val="21"/>
                <w:szCs w:val="21"/>
                <w:highlight w:val="none"/>
              </w:rPr>
              <w:t>了管理评审活动</w:t>
            </w:r>
            <w:r>
              <w:rPr>
                <w:rFonts w:hint="eastAsia" w:ascii="Times New Roman" w:hAnsi="Times New Roman"/>
                <w:b w:val="0"/>
                <w:bCs w:val="0"/>
                <w:sz w:val="21"/>
                <w:szCs w:val="21"/>
                <w:highlight w:val="none"/>
                <w:lang w:val="en-US" w:eastAsia="zh-CN"/>
              </w:rPr>
              <w:t>，</w:t>
            </w:r>
            <w:r>
              <w:rPr>
                <w:rFonts w:hint="eastAsia" w:ascii="Times New Roman" w:hAnsi="Times New Roman"/>
                <w:b w:val="0"/>
                <w:bCs w:val="0"/>
                <w:sz w:val="21"/>
                <w:szCs w:val="21"/>
                <w:highlight w:val="none"/>
              </w:rPr>
              <w:t>管理评审策划和实施的时间、覆盖的范围、输入、输出</w:t>
            </w:r>
            <w:r>
              <w:rPr>
                <w:rFonts w:hint="eastAsia" w:ascii="Times New Roman" w:hAnsi="Times New Roman"/>
                <w:b w:val="0"/>
                <w:bCs w:val="0"/>
                <w:sz w:val="21"/>
                <w:szCs w:val="21"/>
                <w:highlight w:val="none"/>
                <w:lang w:eastAsia="zh-CN"/>
              </w:rPr>
              <w:t>、</w:t>
            </w:r>
            <w:r>
              <w:rPr>
                <w:rFonts w:hint="eastAsia" w:ascii="Times New Roman" w:hAnsi="Times New Roman"/>
                <w:b w:val="0"/>
                <w:bCs w:val="0"/>
                <w:sz w:val="21"/>
                <w:szCs w:val="21"/>
                <w:highlight w:val="none"/>
                <w:lang w:val="en-US" w:eastAsia="zh-CN"/>
              </w:rPr>
              <w:t>结论及改进措施，</w:t>
            </w:r>
            <w:r>
              <w:rPr>
                <w:rFonts w:hint="eastAsia" w:ascii="Times New Roman" w:hAnsi="Times New Roman"/>
                <w:b w:val="0"/>
                <w:bCs w:val="0"/>
                <w:sz w:val="21"/>
                <w:szCs w:val="21"/>
                <w:highlight w:val="none"/>
              </w:rPr>
              <w:t>均符合规定要求；</w:t>
            </w:r>
            <w:r>
              <w:rPr>
                <w:rFonts w:hint="eastAsia" w:ascii="Times New Roman" w:hAnsi="Times New Roman"/>
                <w:b w:val="0"/>
                <w:bCs w:val="0"/>
                <w:sz w:val="21"/>
                <w:szCs w:val="21"/>
                <w:highlight w:val="none"/>
                <w:lang w:val="en-US" w:eastAsia="zh-CN"/>
              </w:rPr>
              <w:t>提供有手写签到表。抽查内容如下：</w:t>
            </w:r>
          </w:p>
          <w:p>
            <w:pPr>
              <w:widowControl/>
              <w:numPr>
                <w:ilvl w:val="0"/>
                <w:numId w:val="1"/>
              </w:numPr>
              <w:spacing w:line="240" w:lineRule="auto"/>
              <w:rPr>
                <w:rFonts w:hint="eastAsia" w:asciiTheme="minorEastAsia" w:hAnsiTheme="minorEastAsia" w:eastAsiaTheme="minorEastAsia"/>
                <w:b w:val="0"/>
                <w:bCs w:val="0"/>
                <w:sz w:val="21"/>
                <w:szCs w:val="21"/>
                <w:highlight w:val="none"/>
              </w:rPr>
            </w:pPr>
            <w:r>
              <w:rPr>
                <w:rFonts w:hint="eastAsia" w:asciiTheme="minorEastAsia" w:hAnsiTheme="minorEastAsia" w:eastAsiaTheme="minorEastAsia"/>
                <w:b w:val="0"/>
                <w:bCs w:val="0"/>
                <w:sz w:val="21"/>
                <w:szCs w:val="21"/>
                <w:highlight w:val="none"/>
              </w:rPr>
              <w:t>评审输入：</w:t>
            </w:r>
          </w:p>
          <w:p>
            <w:pPr>
              <w:spacing w:line="240" w:lineRule="auto"/>
              <w:rPr>
                <w:rFonts w:hint="eastAsia"/>
                <w:lang w:val="en-US" w:eastAsia="zh-CN"/>
              </w:rPr>
            </w:pPr>
            <w:r>
              <w:rPr>
                <w:rFonts w:hint="eastAsia"/>
                <w:lang w:val="en-US" w:eastAsia="zh-CN"/>
              </w:rPr>
              <w:t>1）.以往管理评审所采取措施的情况；</w:t>
            </w:r>
          </w:p>
          <w:p>
            <w:pPr>
              <w:spacing w:line="240" w:lineRule="auto"/>
              <w:rPr>
                <w:rFonts w:hint="eastAsia"/>
                <w:lang w:val="en-US" w:eastAsia="zh-CN"/>
              </w:rPr>
            </w:pPr>
            <w:r>
              <w:rPr>
                <w:rFonts w:hint="eastAsia"/>
                <w:lang w:val="en-US" w:eastAsia="zh-CN"/>
              </w:rPr>
              <w:t>2）.与质量管理体系相关的内外环境因素的变化；</w:t>
            </w:r>
          </w:p>
          <w:p>
            <w:pPr>
              <w:spacing w:line="240" w:lineRule="auto"/>
              <w:rPr>
                <w:rFonts w:hint="eastAsia"/>
                <w:lang w:val="en-US" w:eastAsia="zh-CN"/>
              </w:rPr>
            </w:pPr>
            <w:r>
              <w:rPr>
                <w:rFonts w:hint="eastAsia"/>
                <w:lang w:val="en-US" w:eastAsia="zh-CN"/>
              </w:rPr>
              <w:t>3）顾客满意度和有关相关方的反馈；</w:t>
            </w:r>
          </w:p>
          <w:p>
            <w:pPr>
              <w:spacing w:line="240" w:lineRule="auto"/>
              <w:rPr>
                <w:rFonts w:hint="eastAsia"/>
                <w:lang w:val="en-US" w:eastAsia="zh-CN"/>
              </w:rPr>
            </w:pPr>
            <w:r>
              <w:rPr>
                <w:rFonts w:hint="eastAsia"/>
                <w:lang w:val="en-US" w:eastAsia="zh-CN"/>
              </w:rPr>
              <w:t>4）质量目标的实现程度；</w:t>
            </w:r>
          </w:p>
          <w:p>
            <w:pPr>
              <w:spacing w:line="240" w:lineRule="auto"/>
              <w:rPr>
                <w:rFonts w:hint="eastAsia"/>
                <w:lang w:val="en-US" w:eastAsia="zh-CN"/>
              </w:rPr>
            </w:pPr>
            <w:r>
              <w:rPr>
                <w:rFonts w:hint="eastAsia"/>
                <w:lang w:val="en-US" w:eastAsia="zh-CN"/>
              </w:rPr>
              <w:t>5）过程绩效和产品服务的合格情况；</w:t>
            </w:r>
          </w:p>
          <w:p>
            <w:pPr>
              <w:spacing w:line="240" w:lineRule="auto"/>
              <w:rPr>
                <w:rFonts w:hint="eastAsia"/>
                <w:lang w:val="en-US" w:eastAsia="zh-CN"/>
              </w:rPr>
            </w:pPr>
            <w:r>
              <w:rPr>
                <w:rFonts w:hint="eastAsia"/>
                <w:lang w:val="en-US" w:eastAsia="zh-CN"/>
              </w:rPr>
              <w:t>6）不合格及纠正措施；</w:t>
            </w:r>
          </w:p>
          <w:p>
            <w:pPr>
              <w:spacing w:line="240" w:lineRule="auto"/>
              <w:rPr>
                <w:rFonts w:hint="eastAsia"/>
                <w:lang w:val="en-US" w:eastAsia="zh-CN"/>
              </w:rPr>
            </w:pPr>
            <w:r>
              <w:rPr>
                <w:rFonts w:hint="eastAsia"/>
                <w:lang w:val="en-US" w:eastAsia="zh-CN"/>
              </w:rPr>
              <w:t>7）.监视和测量结果；</w:t>
            </w:r>
          </w:p>
          <w:p>
            <w:pPr>
              <w:spacing w:line="240" w:lineRule="auto"/>
              <w:rPr>
                <w:rFonts w:hint="eastAsia"/>
                <w:lang w:val="en-US" w:eastAsia="zh-CN"/>
              </w:rPr>
            </w:pPr>
            <w:r>
              <w:rPr>
                <w:rFonts w:hint="eastAsia"/>
                <w:lang w:val="en-US" w:eastAsia="zh-CN"/>
              </w:rPr>
              <w:t>8）.审核结果；</w:t>
            </w:r>
          </w:p>
          <w:p>
            <w:pPr>
              <w:spacing w:line="240" w:lineRule="auto"/>
              <w:rPr>
                <w:rFonts w:hint="eastAsia"/>
                <w:lang w:val="en-US" w:eastAsia="zh-CN"/>
              </w:rPr>
            </w:pPr>
            <w:r>
              <w:rPr>
                <w:rFonts w:hint="eastAsia"/>
                <w:lang w:val="en-US" w:eastAsia="zh-CN"/>
              </w:rPr>
              <w:t>9）外部供方的绩效；</w:t>
            </w:r>
          </w:p>
          <w:p>
            <w:pPr>
              <w:spacing w:line="240" w:lineRule="auto"/>
              <w:rPr>
                <w:rFonts w:hint="eastAsia"/>
                <w:lang w:val="en-US" w:eastAsia="zh-CN"/>
              </w:rPr>
            </w:pPr>
            <w:r>
              <w:rPr>
                <w:rFonts w:hint="eastAsia"/>
                <w:lang w:val="en-US" w:eastAsia="zh-CN"/>
              </w:rPr>
              <w:t>10）.资源的充分性；</w:t>
            </w:r>
          </w:p>
          <w:p>
            <w:pPr>
              <w:spacing w:line="240" w:lineRule="auto"/>
              <w:rPr>
                <w:rFonts w:hint="eastAsia"/>
                <w:lang w:val="en-US" w:eastAsia="zh-CN"/>
              </w:rPr>
            </w:pPr>
            <w:r>
              <w:rPr>
                <w:rFonts w:hint="eastAsia"/>
                <w:lang w:val="en-US" w:eastAsia="zh-CN"/>
              </w:rPr>
              <w:t>11）.应对风险和机遇所采取措施的有效性；</w:t>
            </w:r>
          </w:p>
          <w:p>
            <w:pPr>
              <w:spacing w:line="240" w:lineRule="auto"/>
              <w:rPr>
                <w:rFonts w:hint="eastAsia"/>
                <w:lang w:val="en-US" w:eastAsia="zh-CN"/>
              </w:rPr>
            </w:pPr>
            <w:r>
              <w:rPr>
                <w:rFonts w:hint="eastAsia"/>
                <w:lang w:val="en-US" w:eastAsia="zh-CN"/>
              </w:rPr>
              <w:t>12）改进的机会。</w:t>
            </w:r>
          </w:p>
          <w:p>
            <w:pPr>
              <w:spacing w:line="240" w:lineRule="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2、评审结论：</w:t>
            </w:r>
          </w:p>
          <w:p>
            <w:pPr>
              <w:spacing w:line="240" w:lineRule="auto"/>
              <w:rPr>
                <w:rFonts w:hint="eastAsia" w:ascii="宋体" w:hAnsi="宋体" w:cs="宋体"/>
                <w:b w:val="0"/>
                <w:bCs w:val="0"/>
                <w:sz w:val="21"/>
                <w:szCs w:val="21"/>
                <w:highlight w:val="none"/>
              </w:rPr>
            </w:pPr>
            <w:r>
              <w:rPr>
                <w:rFonts w:hint="eastAsia" w:ascii="宋体" w:hAnsi="宋体" w:cs="宋体"/>
                <w:b w:val="0"/>
                <w:bCs w:val="0"/>
                <w:sz w:val="21"/>
                <w:szCs w:val="21"/>
                <w:highlight w:val="none"/>
              </w:rPr>
              <w:t>1.公司制订的质量方针和质量目标的运行情况看是适宜的。</w:t>
            </w:r>
          </w:p>
          <w:p>
            <w:pPr>
              <w:spacing w:line="240" w:lineRule="auto"/>
              <w:rPr>
                <w:rFonts w:hint="eastAsia" w:ascii="宋体" w:hAnsi="宋体" w:cs="宋体"/>
                <w:b w:val="0"/>
                <w:bCs w:val="0"/>
                <w:sz w:val="21"/>
                <w:szCs w:val="21"/>
                <w:highlight w:val="none"/>
              </w:rPr>
            </w:pPr>
            <w:r>
              <w:rPr>
                <w:rFonts w:hint="eastAsia" w:ascii="宋体" w:hAnsi="宋体" w:cs="宋体"/>
                <w:b w:val="0"/>
                <w:bCs w:val="0"/>
                <w:sz w:val="21"/>
                <w:szCs w:val="21"/>
                <w:highlight w:val="none"/>
              </w:rPr>
              <w:t>2.公司建立的质量管理体系基本符合ISO9001标准要求；试运行情况是适宜的、有效的。</w:t>
            </w:r>
          </w:p>
          <w:p>
            <w:pPr>
              <w:spacing w:line="240" w:lineRule="auto"/>
              <w:rPr>
                <w:rFonts w:hint="eastAsia" w:ascii="宋体" w:hAnsi="宋体" w:cs="宋体"/>
                <w:b w:val="0"/>
                <w:bCs w:val="0"/>
                <w:sz w:val="21"/>
                <w:szCs w:val="21"/>
                <w:highlight w:val="none"/>
              </w:rPr>
            </w:pPr>
            <w:r>
              <w:rPr>
                <w:rFonts w:hint="eastAsia" w:ascii="宋体" w:hAnsi="宋体" w:cs="宋体"/>
                <w:b w:val="0"/>
                <w:bCs w:val="0"/>
                <w:sz w:val="21"/>
                <w:szCs w:val="21"/>
                <w:highlight w:val="none"/>
              </w:rPr>
              <w:t>3.上一年度管理评审决议事项已按期完成，经验证有效；</w:t>
            </w:r>
          </w:p>
          <w:p>
            <w:pPr>
              <w:spacing w:line="240" w:lineRule="auto"/>
              <w:rPr>
                <w:rFonts w:hint="eastAsia" w:ascii="宋体" w:hAnsi="宋体" w:cs="宋体"/>
                <w:b w:val="0"/>
                <w:bCs w:val="0"/>
                <w:sz w:val="21"/>
                <w:szCs w:val="21"/>
                <w:highlight w:val="none"/>
              </w:rPr>
            </w:pPr>
            <w:r>
              <w:rPr>
                <w:rFonts w:hint="eastAsia" w:ascii="宋体" w:hAnsi="宋体" w:cs="宋体"/>
                <w:b w:val="0"/>
                <w:bCs w:val="0"/>
                <w:sz w:val="21"/>
                <w:szCs w:val="21"/>
                <w:highlight w:val="none"/>
              </w:rPr>
              <w:t>4、公司内外部环境因素的识别比较充分，针对内外部需求和期望所制定的措施也是适宜的；</w:t>
            </w:r>
          </w:p>
          <w:p>
            <w:pPr>
              <w:spacing w:line="240" w:lineRule="auto"/>
              <w:rPr>
                <w:rFonts w:hint="eastAsia" w:ascii="宋体" w:hAnsi="宋体" w:cs="宋体"/>
                <w:b w:val="0"/>
                <w:bCs w:val="0"/>
                <w:sz w:val="21"/>
                <w:szCs w:val="21"/>
                <w:highlight w:val="none"/>
              </w:rPr>
            </w:pPr>
            <w:r>
              <w:rPr>
                <w:rFonts w:hint="eastAsia" w:ascii="宋体" w:hAnsi="宋体" w:cs="宋体"/>
                <w:b w:val="0"/>
                <w:bCs w:val="0"/>
                <w:sz w:val="21"/>
                <w:szCs w:val="21"/>
                <w:highlight w:val="none"/>
              </w:rPr>
              <w:t>5、公司对风险和机遇的识别是充分的，制定的应对措施是适宜的和有效的。</w:t>
            </w:r>
          </w:p>
          <w:p>
            <w:pPr>
              <w:spacing w:line="240" w:lineRule="auto"/>
              <w:rPr>
                <w:rFonts w:hint="eastAsia" w:ascii="宋体" w:hAnsi="宋体" w:cs="宋体"/>
                <w:b w:val="0"/>
                <w:bCs w:val="0"/>
                <w:sz w:val="21"/>
                <w:szCs w:val="21"/>
                <w:highlight w:val="none"/>
              </w:rPr>
            </w:pPr>
            <w:r>
              <w:rPr>
                <w:rFonts w:hint="eastAsia" w:ascii="宋体" w:hAnsi="宋体" w:cs="宋体"/>
                <w:b w:val="0"/>
                <w:bCs w:val="0"/>
                <w:sz w:val="21"/>
                <w:szCs w:val="21"/>
                <w:highlight w:val="none"/>
              </w:rPr>
              <w:t>6.质量管理体系的保持和持续改进是公司及各部门今后的工作要求，具体为：</w:t>
            </w:r>
          </w:p>
          <w:p>
            <w:pPr>
              <w:spacing w:line="240" w:lineRule="auto"/>
              <w:rPr>
                <w:rFonts w:hint="eastAsia" w:ascii="宋体" w:hAnsi="宋体" w:cs="宋体"/>
                <w:b w:val="0"/>
                <w:bCs w:val="0"/>
                <w:sz w:val="21"/>
                <w:szCs w:val="21"/>
                <w:highlight w:val="none"/>
              </w:rPr>
            </w:pPr>
            <w:r>
              <w:rPr>
                <w:rFonts w:hint="eastAsia" w:ascii="宋体" w:hAnsi="宋体" w:cs="宋体"/>
                <w:b w:val="0"/>
                <w:bCs w:val="0"/>
                <w:sz w:val="21"/>
                <w:szCs w:val="21"/>
                <w:highlight w:val="none"/>
              </w:rPr>
              <w:t xml:space="preserve">     a.质量管理体系是公司管理的核心，所有与质量有关的管理、执行、验证人员都应进一步学习和理解ISO9001标准和公司的体系文件，把每一件工作做得更好，将自己的工作上一个新台阶。</w:t>
            </w:r>
          </w:p>
          <w:p>
            <w:pPr>
              <w:spacing w:line="240" w:lineRule="auto"/>
              <w:rPr>
                <w:rFonts w:hint="eastAsia" w:ascii="宋体" w:hAnsi="宋体" w:cs="宋体"/>
                <w:b w:val="0"/>
                <w:bCs w:val="0"/>
                <w:sz w:val="21"/>
                <w:szCs w:val="21"/>
                <w:highlight w:val="none"/>
              </w:rPr>
            </w:pPr>
            <w:r>
              <w:rPr>
                <w:rFonts w:hint="eastAsia" w:ascii="宋体" w:hAnsi="宋体" w:cs="宋体"/>
                <w:b w:val="0"/>
                <w:bCs w:val="0"/>
                <w:sz w:val="21"/>
                <w:szCs w:val="21"/>
                <w:highlight w:val="none"/>
              </w:rPr>
              <w:t>b.质量管理工作的重点是将方针目标的展开落实到实处，即：合格供方的评审等。</w:t>
            </w:r>
          </w:p>
          <w:p>
            <w:pPr>
              <w:spacing w:line="240" w:lineRule="auto"/>
              <w:rPr>
                <w:rFonts w:hint="eastAsia" w:ascii="宋体" w:hAnsi="宋体" w:cs="宋体"/>
                <w:b w:val="0"/>
                <w:bCs w:val="0"/>
                <w:sz w:val="21"/>
                <w:szCs w:val="21"/>
                <w:highlight w:val="none"/>
              </w:rPr>
            </w:pPr>
            <w:r>
              <w:rPr>
                <w:rFonts w:hint="eastAsia" w:ascii="宋体" w:hAnsi="宋体" w:cs="宋体"/>
                <w:b w:val="0"/>
                <w:bCs w:val="0"/>
                <w:sz w:val="21"/>
                <w:szCs w:val="21"/>
                <w:highlight w:val="none"/>
              </w:rPr>
              <w:t xml:space="preserve">c.进一步做好顾客调查、收集顾客意见，做好顾客服务工作。                                                 </w:t>
            </w:r>
          </w:p>
          <w:p>
            <w:pPr>
              <w:spacing w:line="240" w:lineRule="auto"/>
              <w:rPr>
                <w:rFonts w:hint="eastAsia" w:ascii="宋体" w:hAnsi="宋体" w:cs="宋体"/>
                <w:b w:val="0"/>
                <w:bCs w:val="0"/>
                <w:sz w:val="21"/>
                <w:szCs w:val="21"/>
                <w:highlight w:val="none"/>
              </w:rPr>
            </w:pPr>
            <w:r>
              <w:rPr>
                <w:rFonts w:hint="eastAsia" w:ascii="宋体" w:hAnsi="宋体" w:cs="宋体"/>
                <w:b w:val="0"/>
                <w:bCs w:val="0"/>
                <w:sz w:val="21"/>
                <w:szCs w:val="21"/>
                <w:highlight w:val="none"/>
              </w:rPr>
              <w:t xml:space="preserve">                                                签字：李建国  日期：  2022/1/29 </w:t>
            </w:r>
          </w:p>
          <w:p>
            <w:pPr>
              <w:spacing w:line="240" w:lineRule="auto"/>
              <w:rPr>
                <w:rFonts w:hint="eastAsia" w:ascii="宋体" w:hAnsi="宋体" w:cs="宋体"/>
                <w:b w:val="0"/>
                <w:bCs w:val="0"/>
                <w:sz w:val="21"/>
                <w:szCs w:val="21"/>
                <w:highlight w:val="none"/>
              </w:rPr>
            </w:pPr>
            <w:r>
              <w:rPr>
                <w:rFonts w:hint="eastAsia" w:ascii="宋体" w:hAnsi="宋体" w:cs="宋体"/>
                <w:b w:val="0"/>
                <w:bCs w:val="0"/>
                <w:sz w:val="21"/>
                <w:szCs w:val="21"/>
                <w:highlight w:val="none"/>
              </w:rPr>
              <w:t>决策事项：</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1、人力资源略显不足，需要进一步加强培训、引进或招聘各领域骨干，充实人力资源。</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2、进一步做好老产品的改进工作。</w:t>
            </w:r>
          </w:p>
          <w:p>
            <w:pPr>
              <w:spacing w:line="24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纠正措施：</w:t>
            </w:r>
          </w:p>
          <w:p>
            <w:pPr>
              <w:spacing w:line="24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1.为质量管理体系的保持和持续改进对公司今后的工作提出了要求，具体为：</w:t>
            </w:r>
          </w:p>
          <w:p>
            <w:pPr>
              <w:spacing w:line="24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a.质量管理体系是公司管理的核心，所有与质量有关的管理、执行、验证人员都应进一步学习和理解ISO9001标准和公司的体系文件，把每一件工作做得更好，将自己的工作上一个新台阶。</w:t>
            </w:r>
          </w:p>
          <w:p>
            <w:pPr>
              <w:spacing w:line="24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b.质量管理工作的重点是将方针目标的展开落实到实处，即：合格供方的评审等。</w:t>
            </w:r>
          </w:p>
          <w:p>
            <w:pPr>
              <w:spacing w:line="24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c.进一步做好顾客调查、收集顾客意见，做好顾客服务工作。</w:t>
            </w:r>
          </w:p>
          <w:p>
            <w:pPr>
              <w:spacing w:line="24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2.依据公司发展规划对方针目标进行不断调整，将方针目标展开和对落实情况的记录检查是对质</w:t>
            </w:r>
          </w:p>
          <w:p>
            <w:pPr>
              <w:spacing w:line="24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量管理体系有效性策划和持续改进，以适应体系环境的需要；</w:t>
            </w:r>
          </w:p>
          <w:p>
            <w:pPr>
              <w:spacing w:line="24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3.为确保产品一次交验合格率90%以上，应加强对合格供方、原辅材料、外购配套物料的质量控制；</w:t>
            </w:r>
          </w:p>
          <w:p>
            <w:pPr>
              <w:spacing w:line="24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                                    签字：李建国  日期：  2022/1/29 </w:t>
            </w:r>
          </w:p>
          <w:p>
            <w:pPr>
              <w:pStyle w:val="2"/>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评审决策事项（纠正措施）完成情况及效果验证记录</w:t>
            </w:r>
          </w:p>
          <w:p>
            <w:pPr>
              <w:pStyle w:val="2"/>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完成，并由总经理或其委托人实施验证。</w:t>
            </w:r>
          </w:p>
          <w:p>
            <w:pPr>
              <w:pStyle w:val="2"/>
              <w:rPr>
                <w:rFonts w:hint="eastAsia" w:ascii="宋体" w:hAnsi="宋体" w:eastAsia="宋体" w:cs="宋体"/>
                <w:b w:val="0"/>
                <w:bCs w:val="0"/>
                <w:sz w:val="21"/>
                <w:szCs w:val="21"/>
                <w:highlight w:val="none"/>
                <w:lang w:val="en-US" w:eastAsia="zh-CN"/>
              </w:rPr>
            </w:pPr>
          </w:p>
          <w:p>
            <w:pPr>
              <w:spacing w:line="240" w:lineRule="auto"/>
              <w:rPr>
                <w:rFonts w:hint="eastAsia" w:asciiTheme="minorEastAsia" w:hAnsiTheme="minorEastAsia" w:eastAsiaTheme="minorEastAsia"/>
                <w:szCs w:val="21"/>
                <w:lang w:eastAsia="zh-CN"/>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年度保持基本</w:t>
            </w:r>
            <w:r>
              <w:rPr>
                <w:rFonts w:hint="eastAsia" w:ascii="宋体" w:hAnsi="宋体" w:eastAsia="宋体" w:cs="宋体"/>
                <w:b w:val="0"/>
                <w:bCs w:val="0"/>
                <w:sz w:val="21"/>
                <w:szCs w:val="21"/>
                <w:highlight w:val="none"/>
              </w:rPr>
              <w:t>符合标准要求。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0" w:hRule="atLeast"/>
        </w:trPr>
        <w:tc>
          <w:tcPr>
            <w:tcW w:w="2160" w:type="dxa"/>
          </w:tcPr>
          <w:p>
            <w:pPr>
              <w:rPr>
                <w:rFonts w:hint="eastAsia" w:ascii="宋体" w:hAnsi="宋体"/>
              </w:rPr>
            </w:pPr>
            <w:r>
              <w:rPr>
                <w:rFonts w:hint="eastAsia" w:ascii="宋体" w:hAnsi="宋体" w:eastAsia="宋体" w:cs="Times New Roman"/>
                <w:b w:val="0"/>
                <w:bCs w:val="0"/>
                <w:sz w:val="21"/>
                <w:szCs w:val="21"/>
                <w:lang w:val="en-US" w:eastAsia="zh-CN"/>
              </w:rPr>
              <w:t>上次审核不符合项的验证；产品质量状况(包括质量事件、顾客投诉、监督部门抽查/检测等)</w:t>
            </w:r>
          </w:p>
        </w:tc>
        <w:tc>
          <w:tcPr>
            <w:tcW w:w="960" w:type="dxa"/>
          </w:tcPr>
          <w:p>
            <w:pPr>
              <w:rPr>
                <w:rFonts w:hint="eastAsia"/>
              </w:rPr>
            </w:pPr>
          </w:p>
        </w:tc>
        <w:tc>
          <w:tcPr>
            <w:tcW w:w="10004" w:type="dxa"/>
          </w:tcPr>
          <w:p>
            <w:pPr>
              <w:rPr>
                <w:rFonts w:hint="eastAsia"/>
                <w:lang w:val="en-US" w:eastAsia="zh-CN"/>
              </w:rPr>
            </w:pPr>
            <w:r>
              <w:rPr>
                <w:rFonts w:hint="eastAsia"/>
                <w:lang w:val="en-US" w:eastAsia="zh-CN"/>
              </w:rPr>
              <w:t>---经核查，上次审核未发现不符合项。</w:t>
            </w:r>
          </w:p>
          <w:p>
            <w:pPr>
              <w:rPr>
                <w:rFonts w:hint="eastAsia"/>
                <w:lang w:val="en-US" w:eastAsia="zh-CN"/>
              </w:rPr>
            </w:pPr>
            <w:r>
              <w:rPr>
                <w:rFonts w:hint="eastAsia"/>
                <w:lang w:val="en-US" w:eastAsia="zh-CN"/>
              </w:rPr>
              <w:t>---经核查，营业执照包含产品范围及物理边界。</w:t>
            </w:r>
          </w:p>
          <w:p>
            <w:pPr>
              <w:rPr>
                <w:rFonts w:hint="eastAsia"/>
                <w:lang w:val="en-US" w:eastAsia="zh-CN"/>
              </w:rPr>
            </w:pPr>
            <w:r>
              <w:rPr>
                <w:rFonts w:hint="eastAsia"/>
                <w:lang w:val="en-US" w:eastAsia="zh-CN"/>
              </w:rPr>
              <w:t>---经核查，国家企业信用公示系统显示本年度未发生行政处罚信息。</w:t>
            </w:r>
          </w:p>
          <w:p>
            <w:pPr>
              <w:rPr>
                <w:rFonts w:hint="eastAsia"/>
                <w:lang w:val="en-US" w:eastAsia="zh-CN"/>
              </w:rPr>
            </w:pPr>
            <w:r>
              <w:rPr>
                <w:rFonts w:hint="eastAsia"/>
                <w:lang w:val="en-US" w:eastAsia="zh-CN"/>
              </w:rPr>
              <w:t>管代承诺，本年度内未发生顾客投诉、大批量退货等质量事故，未发生环境污染、职业健康安全事件。</w:t>
            </w:r>
          </w:p>
          <w:p>
            <w:pPr>
              <w:pStyle w:val="2"/>
              <w:ind w:left="0" w:leftChars="0" w:firstLine="0" w:firstLineChars="0"/>
              <w:rPr>
                <w:rFonts w:hint="eastAsia"/>
                <w:lang w:val="en-US" w:eastAsia="zh-CN"/>
              </w:rPr>
            </w:pPr>
            <w:r>
              <w:rPr>
                <w:rFonts w:hint="eastAsia"/>
                <w:lang w:val="en-US" w:eastAsia="zh-CN"/>
              </w:rPr>
              <w:drawing>
                <wp:inline distT="0" distB="0" distL="114300" distR="114300">
                  <wp:extent cx="5814060" cy="3528695"/>
                  <wp:effectExtent l="0" t="0" r="7620" b="6985"/>
                  <wp:docPr id="5" name="图片 5" descr="合规性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合规性截图"/>
                          <pic:cNvPicPr>
                            <a:picLocks noChangeAspect="1"/>
                          </pic:cNvPicPr>
                        </pic:nvPicPr>
                        <pic:blipFill>
                          <a:blip r:embed="rId6"/>
                          <a:stretch>
                            <a:fillRect/>
                          </a:stretch>
                        </pic:blipFill>
                        <pic:spPr>
                          <a:xfrm>
                            <a:off x="0" y="0"/>
                            <a:ext cx="5814060" cy="3528695"/>
                          </a:xfrm>
                          <a:prstGeom prst="rect">
                            <a:avLst/>
                          </a:prstGeom>
                        </pic:spPr>
                      </pic:pic>
                    </a:graphicData>
                  </a:graphic>
                </wp:inline>
              </w:drawing>
            </w:r>
          </w:p>
          <w:p>
            <w:pPr>
              <w:pStyle w:val="2"/>
              <w:ind w:left="0" w:leftChars="0" w:firstLine="0" w:firstLineChars="0"/>
              <w:rPr>
                <w:rFonts w:hint="eastAsia"/>
                <w:lang w:val="en-US" w:eastAsia="zh-CN"/>
              </w:rPr>
            </w:pPr>
          </w:p>
          <w:p>
            <w:pPr>
              <w:rPr>
                <w:rFonts w:hint="eastAsia" w:asciiTheme="minorEastAsia" w:hAnsiTheme="minorEastAsia" w:eastAsiaTheme="minorEastAsia"/>
                <w:szCs w:val="21"/>
                <w:lang w:eastAsia="zh-CN"/>
              </w:rPr>
            </w:pPr>
          </w:p>
        </w:tc>
        <w:tc>
          <w:tcPr>
            <w:tcW w:w="158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54457"/>
    <w:multiLevelType w:val="singleLevel"/>
    <w:tmpl w:val="D625445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4A2DD9"/>
    <w:rsid w:val="047C599F"/>
    <w:rsid w:val="053464AA"/>
    <w:rsid w:val="06C62F02"/>
    <w:rsid w:val="08931509"/>
    <w:rsid w:val="09093579"/>
    <w:rsid w:val="0911242E"/>
    <w:rsid w:val="0A237AE4"/>
    <w:rsid w:val="0A402FCB"/>
    <w:rsid w:val="0A4A6D41"/>
    <w:rsid w:val="0ED939EE"/>
    <w:rsid w:val="0FA64019"/>
    <w:rsid w:val="11C26D9A"/>
    <w:rsid w:val="128A4E7A"/>
    <w:rsid w:val="12E60856"/>
    <w:rsid w:val="179901BE"/>
    <w:rsid w:val="1B3127EA"/>
    <w:rsid w:val="1E004AF3"/>
    <w:rsid w:val="206A26F8"/>
    <w:rsid w:val="210E5779"/>
    <w:rsid w:val="22DF561F"/>
    <w:rsid w:val="24AC64AE"/>
    <w:rsid w:val="25070391"/>
    <w:rsid w:val="2508363B"/>
    <w:rsid w:val="28732366"/>
    <w:rsid w:val="2A6C048A"/>
    <w:rsid w:val="2A9071FF"/>
    <w:rsid w:val="2DA52FC1"/>
    <w:rsid w:val="2E252C8E"/>
    <w:rsid w:val="36EC7EB3"/>
    <w:rsid w:val="39A86313"/>
    <w:rsid w:val="3BF82E56"/>
    <w:rsid w:val="3BFB7BD3"/>
    <w:rsid w:val="3C3814A4"/>
    <w:rsid w:val="3D386501"/>
    <w:rsid w:val="3D870447"/>
    <w:rsid w:val="424820A3"/>
    <w:rsid w:val="446612A5"/>
    <w:rsid w:val="478101A3"/>
    <w:rsid w:val="492F7B3D"/>
    <w:rsid w:val="4BE551A5"/>
    <w:rsid w:val="4C6D0CAC"/>
    <w:rsid w:val="522D3402"/>
    <w:rsid w:val="52B201CE"/>
    <w:rsid w:val="580764A3"/>
    <w:rsid w:val="5B8D4F11"/>
    <w:rsid w:val="5BFB1E7B"/>
    <w:rsid w:val="5C01299C"/>
    <w:rsid w:val="5CD5091E"/>
    <w:rsid w:val="62A72D5C"/>
    <w:rsid w:val="676905E0"/>
    <w:rsid w:val="6A763BAE"/>
    <w:rsid w:val="6D5C2995"/>
    <w:rsid w:val="6E4C2A0A"/>
    <w:rsid w:val="6F2105FA"/>
    <w:rsid w:val="712E4649"/>
    <w:rsid w:val="723B526F"/>
    <w:rsid w:val="72DB610A"/>
    <w:rsid w:val="731E0DA8"/>
    <w:rsid w:val="743B63A6"/>
    <w:rsid w:val="74FA27C3"/>
    <w:rsid w:val="77440722"/>
    <w:rsid w:val="77EF1307"/>
    <w:rsid w:val="78CF03C2"/>
    <w:rsid w:val="7BB94E36"/>
    <w:rsid w:val="7C460CC3"/>
    <w:rsid w:val="7C5814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
    <w:name w:val="表格文字"/>
    <w:basedOn w:val="1"/>
    <w:qFormat/>
    <w:uiPriority w:val="0"/>
    <w:pPr>
      <w:spacing w:before="25" w:after="25"/>
    </w:pPr>
    <w:rPr>
      <w:bCs/>
      <w:spacing w:val="10"/>
    </w:rPr>
  </w:style>
  <w:style w:type="paragraph" w:customStyle="1" w:styleId="16">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3516</Words>
  <Characters>3722</Characters>
  <Lines>1</Lines>
  <Paragraphs>1</Paragraphs>
  <TotalTime>13</TotalTime>
  <ScaleCrop>false</ScaleCrop>
  <LinksUpToDate>false</LinksUpToDate>
  <CharactersWithSpaces>3882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2022-04-22T04:59:14Z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