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管理层；</w:t>
            </w:r>
            <w:r>
              <w:rPr>
                <w:rFonts w:hint="eastAsia"/>
                <w:sz w:val="24"/>
                <w:szCs w:val="24"/>
              </w:rPr>
              <w:t>主管领导</w:t>
            </w:r>
            <w:r>
              <w:rPr>
                <w:rFonts w:hint="eastAsia"/>
                <w:sz w:val="24"/>
                <w:szCs w:val="24"/>
                <w:lang w:val="en-US" w:eastAsia="zh-CN"/>
              </w:rPr>
              <w:t>/</w:t>
            </w:r>
            <w:r>
              <w:rPr>
                <w:rFonts w:hint="eastAsia"/>
                <w:sz w:val="24"/>
                <w:szCs w:val="24"/>
              </w:rPr>
              <w:t>陪同人员：</w:t>
            </w:r>
            <w:r>
              <w:rPr>
                <w:rFonts w:hint="eastAsia" w:ascii="宋体" w:hAnsi="宋体"/>
                <w:sz w:val="24"/>
                <w:lang w:eastAsia="zh-CN"/>
              </w:rPr>
              <w:t>关宏明、</w:t>
            </w:r>
            <w:r>
              <w:rPr>
                <w:rFonts w:hint="eastAsia" w:ascii="Times New Roman" w:hAnsi="Times New Roman" w:eastAsia="宋体" w:cs="Times New Roman"/>
                <w:sz w:val="21"/>
                <w:szCs w:val="21"/>
              </w:rPr>
              <w:t>关宏光</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bookmarkStart w:id="0" w:name="审核组成员不含组长"/>
            <w:r>
              <w:rPr>
                <w:rFonts w:hint="eastAsia"/>
                <w:sz w:val="24"/>
                <w:szCs w:val="24"/>
              </w:rPr>
              <w:t>关宁</w:t>
            </w:r>
            <w:bookmarkEnd w:id="0"/>
            <w:r>
              <w:rPr>
                <w:rFonts w:hint="eastAsia"/>
                <w:sz w:val="24"/>
                <w:szCs w:val="24"/>
              </w:rPr>
              <w:t>审核时间：</w:t>
            </w:r>
            <w:bookmarkStart w:id="1" w:name="审核日期"/>
            <w:r>
              <w:t>2022年</w:t>
            </w:r>
            <w:r>
              <w:rPr>
                <w:rFonts w:hint="eastAsia"/>
                <w:lang w:val="en-US" w:eastAsia="zh-CN"/>
              </w:rPr>
              <w:t>4</w:t>
            </w:r>
            <w:r>
              <w:t>月1</w:t>
            </w:r>
            <w:r>
              <w:rPr>
                <w:rFonts w:hint="eastAsia"/>
                <w:lang w:val="en-US" w:eastAsia="zh-CN"/>
              </w:rPr>
              <w:t>6</w:t>
            </w:r>
            <w:r>
              <w:t xml:space="preserve">日 </w:t>
            </w:r>
            <w:bookmarkEnd w:id="1"/>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rFonts w:hint="eastAsia" w:ascii="宋体" w:hAnsi="宋体" w:eastAsia="宋体" w:cs="Times New Roman"/>
                <w:b w:val="0"/>
                <w:bCs w:val="0"/>
                <w:sz w:val="21"/>
                <w:szCs w:val="21"/>
                <w:lang w:val="en-US" w:eastAsia="zh-CN"/>
              </w:rPr>
            </w:pPr>
            <w:r>
              <w:rPr>
                <w:rFonts w:hint="eastAsia"/>
                <w:sz w:val="24"/>
                <w:szCs w:val="24"/>
              </w:rPr>
              <w:t>审核条款：</w:t>
            </w:r>
            <w:r>
              <w:rPr>
                <w:rFonts w:hint="eastAsia" w:ascii="宋体" w:hAnsi="宋体" w:eastAsia="宋体" w:cs="Times New Roman"/>
                <w:b w:val="0"/>
                <w:bCs w:val="0"/>
                <w:sz w:val="21"/>
                <w:szCs w:val="21"/>
              </w:rPr>
              <w:t>Q</w:t>
            </w:r>
            <w:r>
              <w:rPr>
                <w:rFonts w:hint="eastAsia" w:ascii="宋体" w:hAnsi="宋体" w:eastAsia="宋体" w:cs="Times New Roman"/>
                <w:b w:val="0"/>
                <w:bCs w:val="0"/>
                <w:sz w:val="21"/>
                <w:szCs w:val="21"/>
                <w:lang w:val="en-US" w:eastAsia="zh-CN"/>
              </w:rPr>
              <w:t>:4.1/4.2/4.3/4.4/5.2/5.3/6.1/6.2/6.3/9.3</w:t>
            </w:r>
          </w:p>
          <w:p>
            <w:pPr>
              <w:snapToGrid w:val="0"/>
              <w:spacing w:line="32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1、企业概况及组织体系总体策划和建立过程：</w:t>
            </w:r>
          </w:p>
          <w:p>
            <w:pPr>
              <w:snapToGrid w:val="0"/>
              <w:spacing w:line="32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*组织层面影响管理体系预期结果的风险识别与应对的运行有效性；包括相关方需求的识别和应对，以及风险识别与应对机制的运行、体系变更策划；</w:t>
            </w:r>
          </w:p>
          <w:p>
            <w:pPr>
              <w:snapToGrid w:val="0"/>
              <w:spacing w:line="32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*管理体系范围确定的适宜性和充分性及体系过程（包括QMS 不适宜要求确定的合理性--8.3）；</w:t>
            </w:r>
          </w:p>
          <w:p>
            <w:pPr>
              <w:snapToGrid w:val="0"/>
              <w:spacing w:line="320" w:lineRule="exact"/>
              <w:rPr>
                <w:rFonts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*组织职能分配、目标建立的适宜性和实施的有效性；</w:t>
            </w:r>
          </w:p>
          <w:p>
            <w:pPr>
              <w:snapToGrid w:val="0"/>
              <w:spacing w:line="320" w:lineRule="exact"/>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2、管理评审的实施及作用；</w:t>
            </w:r>
          </w:p>
          <w:p>
            <w:pPr>
              <w:rPr>
                <w:rFonts w:hint="eastAsia" w:ascii="宋体" w:hAnsi="宋体" w:eastAsia="宋体" w:cs="Times New Roman"/>
                <w:b w:val="0"/>
                <w:bCs w:val="0"/>
                <w:sz w:val="21"/>
                <w:szCs w:val="21"/>
                <w:lang w:val="en-US" w:eastAsia="zh-CN"/>
              </w:rPr>
            </w:pPr>
            <w:r>
              <w:rPr>
                <w:rFonts w:hint="eastAsia" w:ascii="宋体" w:hAnsi="宋体" w:eastAsia="宋体" w:cs="Times New Roman"/>
                <w:b w:val="0"/>
                <w:bCs w:val="0"/>
                <w:sz w:val="21"/>
                <w:szCs w:val="21"/>
                <w:lang w:val="en-US" w:eastAsia="zh-CN"/>
              </w:rPr>
              <w:t>3、上次审核不符合项的验证；产品质量状况(包括质量事件、顾客投诉、监督部门抽查/检测等)</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ascii="宋体" w:hAnsi="宋体" w:eastAsia="宋体" w:cs="Times New Roman"/>
                <w:b w:val="0"/>
                <w:bCs w:val="0"/>
                <w:sz w:val="21"/>
                <w:szCs w:val="21"/>
                <w:lang w:val="en-US" w:eastAsia="zh-CN"/>
              </w:rPr>
              <w:t>企业概况及组织体系总体策划和建立过程</w:t>
            </w:r>
          </w:p>
        </w:tc>
        <w:tc>
          <w:tcPr>
            <w:tcW w:w="960" w:type="dxa"/>
          </w:tcPr>
          <w:p>
            <w:r>
              <w:rPr>
                <w:rFonts w:hint="eastAsia" w:ascii="宋体" w:hAnsi="宋体"/>
              </w:rPr>
              <w:t>4.1</w:t>
            </w:r>
            <w:r>
              <w:rPr>
                <w:rFonts w:hint="eastAsia" w:ascii="宋体" w:hAnsi="宋体"/>
                <w:lang w:eastAsia="zh-CN"/>
              </w:rPr>
              <w:t>、</w:t>
            </w:r>
            <w:r>
              <w:rPr>
                <w:rFonts w:hint="eastAsia" w:ascii="宋体" w:hAnsi="宋体"/>
              </w:rPr>
              <w:t>4.2</w:t>
            </w:r>
            <w:r>
              <w:rPr>
                <w:rFonts w:hint="eastAsia" w:ascii="宋体" w:hAnsi="宋体"/>
                <w:lang w:eastAsia="zh-CN"/>
              </w:rPr>
              <w:t>、</w:t>
            </w:r>
            <w:r>
              <w:rPr>
                <w:rFonts w:hint="eastAsia" w:ascii="宋体" w:hAnsi="宋体"/>
              </w:rPr>
              <w:t>6.1</w:t>
            </w:r>
            <w:r>
              <w:rPr>
                <w:rFonts w:hint="eastAsia" w:ascii="宋体" w:hAnsi="宋体"/>
                <w:lang w:eastAsia="zh-CN"/>
              </w:rPr>
              <w:t>、</w:t>
            </w:r>
            <w:r>
              <w:rPr>
                <w:rFonts w:hint="eastAsia" w:ascii="宋体" w:hAnsi="宋体"/>
              </w:rPr>
              <w:t>6.3</w:t>
            </w:r>
          </w:p>
        </w:tc>
        <w:tc>
          <w:tcPr>
            <w:tcW w:w="10004" w:type="dxa"/>
          </w:tcPr>
          <w:p>
            <w:r>
              <w:rPr>
                <w:rFonts w:hint="eastAsia"/>
                <w:lang w:val="en-US" w:eastAsia="zh-CN"/>
              </w:rPr>
              <w:t>法人：魏艳敏；总经理：</w:t>
            </w:r>
            <w:r>
              <w:t>关宏</w:t>
            </w:r>
            <w:r>
              <w:rPr>
                <w:rFonts w:hint="eastAsia"/>
                <w:lang w:val="en-US" w:eastAsia="zh-CN"/>
              </w:rPr>
              <w:t>明；管代：</w:t>
            </w:r>
            <w:bookmarkStart w:id="2" w:name="联系人"/>
            <w:r>
              <w:t>关宏光</w:t>
            </w:r>
            <w:bookmarkEnd w:id="2"/>
          </w:p>
          <w:p>
            <w:pPr>
              <w:ind w:firstLine="420" w:firstLineChars="200"/>
              <w:rPr>
                <w:rFonts w:ascii="Arial" w:hAnsi="Arial" w:cs="Arial"/>
                <w:color w:val="000000"/>
                <w:szCs w:val="21"/>
              </w:rPr>
            </w:pPr>
            <w:r>
              <w:rPr>
                <w:rFonts w:hint="eastAsia"/>
              </w:rPr>
              <w:t>襄阳博航金属磨料有限公司</w:t>
            </w:r>
            <w:r>
              <w:rPr>
                <w:rFonts w:ascii="Arial" w:hAnsi="Arial" w:cs="Arial"/>
                <w:color w:val="000000"/>
                <w:kern w:val="0"/>
                <w:szCs w:val="21"/>
                <w:shd w:val="clear" w:color="auto" w:fill="FFFFFF"/>
              </w:rPr>
              <w:t>共计有20人，主要生产抛丸机除锈用的钢丸和钢砂，客户主要是铸造厂、钢结构厂、造船厂等，钢丸生产的前工序（钢丸铸造）公司不做，公司主要在三家钢丸生产厂买的半成品钢丸，然后对钢丸进行热处理、选园、筛选、包装等做成成品钢丸。对另一部分钢丸用破碎机进行破碎，然后进行热处理，再筛选，包装，做成成品钢砂。公司年产铸钢丸2000吨，年产铸钢砂3000吨，共计5000吨。去年年产值1100万元。</w:t>
            </w:r>
          </w:p>
          <w:p>
            <w:pPr>
              <w:spacing w:line="276" w:lineRule="auto"/>
              <w:ind w:firstLine="420" w:firstLineChars="200"/>
              <w:rPr>
                <w:rFonts w:asciiTheme="minorEastAsia" w:hAnsiTheme="minorEastAsia" w:eastAsiaTheme="minorEastAsia"/>
              </w:rPr>
            </w:pPr>
            <w:r>
              <w:rPr>
                <w:rFonts w:hint="eastAsia" w:asciiTheme="minorEastAsia" w:hAnsiTheme="minorEastAsia" w:eastAsiaTheme="minorEastAsia"/>
              </w:rPr>
              <w:t>公司</w:t>
            </w:r>
            <w:r>
              <w:rPr>
                <w:rFonts w:hint="eastAsia"/>
                <w:lang w:val="en-US" w:eastAsia="zh-CN"/>
              </w:rPr>
              <w:t>法人兼行政部负责人魏艳敏</w:t>
            </w:r>
            <w:r>
              <w:rPr>
                <w:rFonts w:hint="eastAsia" w:asciiTheme="minorEastAsia" w:hAnsiTheme="minorEastAsia" w:eastAsiaTheme="minorEastAsia"/>
              </w:rPr>
              <w:t>，在其组织策划下开展建立质量管理体系。公司于20</w:t>
            </w:r>
            <w:r>
              <w:rPr>
                <w:rFonts w:hint="eastAsia" w:asciiTheme="minorEastAsia" w:hAnsiTheme="minorEastAsia" w:eastAsiaTheme="minorEastAsia"/>
                <w:lang w:val="en-US" w:eastAsia="zh-CN"/>
              </w:rPr>
              <w:t>20</w:t>
            </w:r>
            <w:r>
              <w:rPr>
                <w:rFonts w:hint="eastAsia" w:asciiTheme="minorEastAsia" w:hAnsiTheme="minorEastAsia" w:eastAsiaTheme="minorEastAsia"/>
              </w:rPr>
              <w:t>年</w:t>
            </w:r>
            <w:r>
              <w:rPr>
                <w:rFonts w:hint="eastAsia" w:asciiTheme="minorEastAsia" w:hAnsiTheme="minorEastAsia" w:eastAsiaTheme="minorEastAsia"/>
                <w:lang w:val="en-US" w:eastAsia="zh-CN"/>
              </w:rPr>
              <w:t>10</w:t>
            </w:r>
            <w:r>
              <w:rPr>
                <w:rFonts w:hint="eastAsia" w:asciiTheme="minorEastAsia" w:hAnsiTheme="minorEastAsia" w:eastAsiaTheme="minorEastAsia"/>
              </w:rPr>
              <w:t>月1</w:t>
            </w:r>
            <w:r>
              <w:rPr>
                <w:rFonts w:hint="eastAsia" w:asciiTheme="minorEastAsia" w:hAnsiTheme="minorEastAsia" w:eastAsiaTheme="minorEastAsia"/>
                <w:lang w:val="en-US" w:eastAsia="zh-CN"/>
              </w:rPr>
              <w:t>8</w:t>
            </w:r>
            <w:r>
              <w:rPr>
                <w:rFonts w:hint="eastAsia" w:asciiTheme="minorEastAsia" w:hAnsiTheme="minorEastAsia" w:eastAsiaTheme="minorEastAsia"/>
              </w:rPr>
              <w:t>日颁布并实施了质量管理体系文件，体系文件包括有管理手册、方针/目标、程序文件、作业文件以及体系运行所需的记录等。查阅其手册及程序文件等，其体系文件按照GB/T19001-2016《质量管理体系  要求》标准编制</w:t>
            </w:r>
            <w:r>
              <w:rPr>
                <w:rFonts w:hint="eastAsia" w:asciiTheme="minorEastAsia" w:hAnsiTheme="minorEastAsia" w:eastAsiaTheme="minorEastAsia"/>
                <w:lang w:eastAsia="zh-CN"/>
              </w:rPr>
              <w:t>；</w:t>
            </w:r>
            <w:r>
              <w:rPr>
                <w:rFonts w:hint="eastAsia" w:asciiTheme="minorEastAsia" w:hAnsiTheme="minorEastAsia" w:eastAsiaTheme="minorEastAsia"/>
              </w:rPr>
              <w:t>公司依据客户要求和成熟的工艺进行生产，不存在产品和服务的设计和开发过程，故删除GB/T19001-2016标准8.3条款，删减此条款不影响公司遵守法规要求和提供客户需求能力的满足；</w:t>
            </w:r>
            <w:r>
              <w:rPr>
                <w:rFonts w:hint="eastAsia" w:asciiTheme="minorEastAsia" w:hAnsiTheme="minorEastAsia" w:eastAsiaTheme="minorEastAsia"/>
                <w:lang w:val="en-US" w:eastAsia="zh-CN"/>
              </w:rPr>
              <w:t>因此</w:t>
            </w:r>
            <w:r>
              <w:rPr>
                <w:rFonts w:hint="eastAsia" w:asciiTheme="minorEastAsia" w:hAnsiTheme="minorEastAsia" w:eastAsiaTheme="minorEastAsia"/>
              </w:rPr>
              <w:t>该公司文件化质量管理体系覆盖标准全条款。</w:t>
            </w:r>
          </w:p>
          <w:p>
            <w:pPr>
              <w:pStyle w:val="14"/>
              <w:spacing w:line="276" w:lineRule="auto"/>
              <w:ind w:firstLine="420" w:firstLineChars="200"/>
              <w:rPr>
                <w:rFonts w:asciiTheme="minorEastAsia" w:hAnsiTheme="minorEastAsia" w:eastAsiaTheme="minorEastAsia"/>
              </w:rPr>
            </w:pPr>
            <w:r>
              <w:rPr>
                <w:rFonts w:hint="eastAsia" w:asciiTheme="minorEastAsia" w:hAnsiTheme="minorEastAsia" w:eastAsiaTheme="minorEastAsia"/>
              </w:rPr>
              <w:t>总经理介绍，公司现行主要业务为</w:t>
            </w:r>
            <w:bookmarkStart w:id="3" w:name="审核范围"/>
            <w:r>
              <w:rPr>
                <w:sz w:val="20"/>
              </w:rPr>
              <w:t>金属磨料（钢丸、钢砂）的生产和销售</w:t>
            </w:r>
            <w:bookmarkEnd w:id="3"/>
            <w:r>
              <w:rPr>
                <w:rFonts w:hint="eastAsia" w:asciiTheme="minorEastAsia" w:hAnsiTheme="minorEastAsia" w:eastAsiaTheme="minorEastAsia"/>
              </w:rPr>
              <w:t>。主要生产及销售过程为：</w:t>
            </w:r>
          </w:p>
          <w:p>
            <w:pPr>
              <w:tabs>
                <w:tab w:val="left" w:pos="2295"/>
              </w:tabs>
              <w:rPr>
                <w:rFonts w:hint="eastAsia"/>
                <w:sz w:val="21"/>
                <w:szCs w:val="21"/>
                <w:lang w:eastAsia="zh-CN"/>
              </w:rPr>
            </w:pPr>
            <w:r>
              <w:rPr>
                <w:rFonts w:hint="eastAsia"/>
                <w:sz w:val="21"/>
                <w:szCs w:val="21"/>
              </w:rPr>
              <w:t>钢丸</w:t>
            </w:r>
            <w:r>
              <w:rPr>
                <w:rFonts w:hint="eastAsia"/>
                <w:sz w:val="21"/>
                <w:szCs w:val="21"/>
                <w:lang w:val="en-US" w:eastAsia="zh-CN"/>
              </w:rPr>
              <w:t>：</w:t>
            </w:r>
            <w:r>
              <w:rPr>
                <w:rFonts w:hint="eastAsia"/>
                <w:sz w:val="21"/>
                <w:szCs w:val="21"/>
              </w:rPr>
              <w:t>热处理淬火－－热处理回火</w:t>
            </w:r>
            <w:r>
              <w:rPr>
                <w:sz w:val="21"/>
                <w:szCs w:val="21"/>
              </w:rPr>
              <w:t>---</w:t>
            </w:r>
            <w:r>
              <w:rPr>
                <w:rFonts w:hint="eastAsia"/>
                <w:sz w:val="21"/>
                <w:szCs w:val="21"/>
              </w:rPr>
              <w:t>－筛选钢丸－－回火－－淬火－</w:t>
            </w:r>
            <w:r>
              <w:rPr>
                <w:sz w:val="21"/>
                <w:szCs w:val="21"/>
              </w:rPr>
              <w:t>---</w:t>
            </w:r>
            <w:r>
              <w:rPr>
                <w:rFonts w:hint="eastAsia"/>
                <w:sz w:val="21"/>
                <w:szCs w:val="21"/>
              </w:rPr>
              <w:t>回火</w:t>
            </w:r>
            <w:r>
              <w:rPr>
                <w:sz w:val="21"/>
                <w:szCs w:val="21"/>
              </w:rPr>
              <w:t>----</w:t>
            </w:r>
            <w:r>
              <w:rPr>
                <w:rFonts w:hint="eastAsia"/>
                <w:sz w:val="21"/>
                <w:szCs w:val="21"/>
              </w:rPr>
              <w:t>筛选钢丸</w:t>
            </w:r>
            <w:r>
              <w:rPr>
                <w:sz w:val="21"/>
                <w:szCs w:val="21"/>
              </w:rPr>
              <w:t>---</w:t>
            </w:r>
            <w:r>
              <w:rPr>
                <w:rFonts w:hint="eastAsia"/>
                <w:sz w:val="21"/>
                <w:szCs w:val="21"/>
              </w:rPr>
              <w:t>回火</w:t>
            </w:r>
            <w:r>
              <w:rPr>
                <w:sz w:val="21"/>
                <w:szCs w:val="21"/>
              </w:rPr>
              <w:t>----</w:t>
            </w:r>
            <w:r>
              <w:rPr>
                <w:rFonts w:hint="eastAsia"/>
                <w:sz w:val="21"/>
                <w:szCs w:val="21"/>
              </w:rPr>
              <w:t>包装</w:t>
            </w:r>
            <w:r>
              <w:rPr>
                <w:rFonts w:hint="eastAsia"/>
                <w:sz w:val="21"/>
                <w:szCs w:val="21"/>
                <w:lang w:eastAsia="zh-CN"/>
              </w:rPr>
              <w:t>；</w:t>
            </w:r>
          </w:p>
          <w:p>
            <w:pPr>
              <w:tabs>
                <w:tab w:val="left" w:pos="2295"/>
              </w:tabs>
              <w:rPr>
                <w:sz w:val="21"/>
                <w:szCs w:val="21"/>
              </w:rPr>
            </w:pPr>
            <w:r>
              <w:rPr>
                <w:rFonts w:hint="eastAsia"/>
                <w:sz w:val="21"/>
                <w:szCs w:val="21"/>
              </w:rPr>
              <w:t>钢砂</w:t>
            </w:r>
            <w:r>
              <w:rPr>
                <w:rFonts w:hint="eastAsia"/>
                <w:sz w:val="21"/>
                <w:szCs w:val="21"/>
                <w:lang w:eastAsia="zh-CN"/>
              </w:rPr>
              <w:t>：</w:t>
            </w:r>
            <w:r>
              <w:rPr>
                <w:sz w:val="21"/>
                <w:szCs w:val="21"/>
              </w:rPr>
              <w:t xml:space="preserve"> </w:t>
            </w:r>
            <w:r>
              <w:rPr>
                <w:rFonts w:hint="eastAsia"/>
                <w:sz w:val="21"/>
                <w:szCs w:val="21"/>
              </w:rPr>
              <w:t>破碎－－热处理回火－</w:t>
            </w:r>
            <w:r>
              <w:rPr>
                <w:sz w:val="21"/>
                <w:szCs w:val="21"/>
              </w:rPr>
              <w:t>--</w:t>
            </w:r>
            <w:r>
              <w:rPr>
                <w:rFonts w:hint="eastAsia"/>
                <w:sz w:val="21"/>
                <w:szCs w:val="21"/>
              </w:rPr>
              <w:t>破碎</w:t>
            </w:r>
            <w:r>
              <w:rPr>
                <w:sz w:val="21"/>
                <w:szCs w:val="21"/>
              </w:rPr>
              <w:t>----</w:t>
            </w:r>
            <w:r>
              <w:rPr>
                <w:rFonts w:hint="eastAsia"/>
                <w:sz w:val="21"/>
                <w:szCs w:val="21"/>
              </w:rPr>
              <w:t>回火</w:t>
            </w:r>
            <w:r>
              <w:rPr>
                <w:sz w:val="21"/>
                <w:szCs w:val="21"/>
              </w:rPr>
              <w:t>-----</w:t>
            </w:r>
            <w:r>
              <w:rPr>
                <w:rFonts w:hint="eastAsia"/>
                <w:sz w:val="21"/>
                <w:szCs w:val="21"/>
              </w:rPr>
              <w:t>破碎－回火－－包装</w:t>
            </w:r>
          </w:p>
          <w:p>
            <w:pPr>
              <w:pStyle w:val="14"/>
              <w:spacing w:line="276" w:lineRule="auto"/>
              <w:rPr>
                <w:rFonts w:hint="eastAsia" w:eastAsia="宋体" w:asciiTheme="minorEastAsia" w:hAnsiTheme="minorEastAsia"/>
                <w:lang w:eastAsia="zh-CN"/>
              </w:rPr>
            </w:pPr>
            <w:r>
              <w:rPr>
                <w:rFonts w:hint="eastAsia" w:cs="宋体" w:asciiTheme="minorEastAsia" w:hAnsiTheme="minorEastAsia" w:eastAsiaTheme="minorEastAsia"/>
                <w:szCs w:val="21"/>
                <w:lang w:val="en-US" w:eastAsia="zh-CN"/>
              </w:rPr>
              <w:t>销售：</w:t>
            </w:r>
            <w:r>
              <w:rPr>
                <w:rFonts w:hint="eastAsia" w:cs="宋体" w:asciiTheme="minorEastAsia" w:hAnsiTheme="minorEastAsia" w:eastAsiaTheme="minorEastAsia"/>
                <w:szCs w:val="21"/>
              </w:rPr>
              <w:t>客户</w:t>
            </w:r>
            <w:r>
              <w:rPr>
                <w:rFonts w:hint="eastAsia" w:cs="宋体" w:asciiTheme="minorEastAsia" w:hAnsiTheme="minorEastAsia" w:eastAsiaTheme="minorEastAsia"/>
                <w:szCs w:val="21"/>
                <w:lang w:val="en-US" w:eastAsia="zh-CN"/>
              </w:rPr>
              <w:t>接洽</w:t>
            </w:r>
            <w:r>
              <w:rPr>
                <w:rFonts w:hint="eastAsia"/>
                <w:sz w:val="21"/>
                <w:szCs w:val="21"/>
              </w:rPr>
              <w:t>－－</w:t>
            </w:r>
            <w:r>
              <w:rPr>
                <w:rFonts w:hint="eastAsia" w:cs="宋体" w:asciiTheme="minorEastAsia" w:hAnsiTheme="minorEastAsia" w:eastAsiaTheme="minorEastAsia"/>
                <w:szCs w:val="21"/>
              </w:rPr>
              <w:t>签订合同</w:t>
            </w:r>
            <w:r>
              <w:rPr>
                <w:rFonts w:hint="eastAsia"/>
                <w:sz w:val="21"/>
                <w:szCs w:val="21"/>
              </w:rPr>
              <w:t>－－</w:t>
            </w:r>
            <w:r>
              <w:rPr>
                <w:rFonts w:hint="eastAsia"/>
                <w:sz w:val="21"/>
                <w:szCs w:val="21"/>
                <w:lang w:val="en-US" w:eastAsia="zh-CN"/>
              </w:rPr>
              <w:t>销售服务</w:t>
            </w:r>
            <w:r>
              <w:rPr>
                <w:rFonts w:hint="eastAsia"/>
                <w:sz w:val="21"/>
                <w:szCs w:val="21"/>
              </w:rPr>
              <w:t>－－</w:t>
            </w:r>
            <w:r>
              <w:rPr>
                <w:rFonts w:hint="eastAsia" w:cs="宋体" w:asciiTheme="minorEastAsia" w:hAnsiTheme="minorEastAsia" w:eastAsiaTheme="minorEastAsia"/>
                <w:szCs w:val="21"/>
                <w:lang w:val="en-US" w:eastAsia="zh-CN"/>
              </w:rPr>
              <w:t>回款</w:t>
            </w:r>
          </w:p>
          <w:p>
            <w:pPr>
              <w:pStyle w:val="14"/>
              <w:spacing w:line="276" w:lineRule="auto"/>
              <w:rPr>
                <w:rFonts w:asciiTheme="minorEastAsia" w:hAnsiTheme="minorEastAsia" w:eastAsiaTheme="minorEastAsia"/>
              </w:rPr>
            </w:pPr>
            <w:r>
              <w:rPr>
                <w:rFonts w:hint="eastAsia" w:asciiTheme="minorEastAsia" w:hAnsiTheme="minorEastAsia" w:eastAsiaTheme="minorEastAsia"/>
                <w:lang w:val="en-US" w:eastAsia="zh-CN"/>
              </w:rPr>
              <w:t>--</w:t>
            </w:r>
            <w:r>
              <w:rPr>
                <w:rFonts w:hint="eastAsia" w:asciiTheme="minorEastAsia" w:hAnsiTheme="minorEastAsia" w:eastAsiaTheme="minorEastAsia"/>
              </w:rPr>
              <w:t>提供有“经营管经营管理SWOT分析表”，识别了影响其实现质量管理体系预期结果的企业内外部环境因素。包括：</w:t>
            </w:r>
            <w:r>
              <w:rPr>
                <w:rFonts w:hint="eastAsia" w:asciiTheme="minorEastAsia" w:hAnsiTheme="minorEastAsia" w:eastAsiaTheme="minorEastAsia"/>
                <w:lang w:val="en-US" w:eastAsia="zh-CN"/>
              </w:rPr>
              <w:t>政治/</w:t>
            </w:r>
            <w:r>
              <w:rPr>
                <w:rFonts w:hint="eastAsia"/>
              </w:rPr>
              <w:t>法律</w:t>
            </w:r>
            <w:r>
              <w:rPr>
                <w:rFonts w:hint="eastAsia"/>
                <w:lang w:eastAsia="zh-CN"/>
              </w:rPr>
              <w:t>、</w:t>
            </w:r>
            <w:r>
              <w:rPr>
                <w:rFonts w:hint="eastAsia"/>
                <w:lang w:bidi="ar"/>
              </w:rPr>
              <w:t>技术、</w:t>
            </w:r>
            <w:r>
              <w:rPr>
                <w:rFonts w:hint="eastAsia"/>
                <w:lang w:val="en-US" w:eastAsia="zh-CN" w:bidi="ar"/>
              </w:rPr>
              <w:t>经济</w:t>
            </w:r>
            <w:r>
              <w:rPr>
                <w:rFonts w:hint="eastAsia"/>
                <w:lang w:bidi="ar"/>
              </w:rPr>
              <w:t>；财务构面、顾客构面、员工构面等等。</w:t>
            </w:r>
          </w:p>
          <w:p>
            <w:pPr>
              <w:pStyle w:val="14"/>
              <w:spacing w:line="276" w:lineRule="auto"/>
              <w:rPr>
                <w:rFonts w:asciiTheme="minorEastAsia" w:hAnsiTheme="minorEastAsia" w:eastAsiaTheme="minorEastAsia"/>
              </w:rPr>
            </w:pPr>
            <w:r>
              <w:rPr>
                <w:rFonts w:hint="eastAsia" w:asciiTheme="minorEastAsia" w:hAnsiTheme="minorEastAsia" w:eastAsiaTheme="minorEastAsia"/>
                <w:lang w:val="en-US" w:eastAsia="zh-CN"/>
              </w:rPr>
              <w:t>--</w:t>
            </w:r>
            <w:r>
              <w:rPr>
                <w:rFonts w:hint="eastAsia" w:asciiTheme="minorEastAsia" w:hAnsiTheme="minorEastAsia" w:eastAsiaTheme="minorEastAsia"/>
              </w:rPr>
              <w:t>出示有“风险识别与</w:t>
            </w:r>
            <w:r>
              <w:rPr>
                <w:rFonts w:hint="eastAsia" w:asciiTheme="minorEastAsia" w:hAnsiTheme="minorEastAsia" w:eastAsiaTheme="minorEastAsia"/>
                <w:lang w:val="en-US" w:eastAsia="zh-CN"/>
              </w:rPr>
              <w:t>控制</w:t>
            </w:r>
            <w:r>
              <w:rPr>
                <w:rFonts w:hint="eastAsia" w:asciiTheme="minorEastAsia" w:hAnsiTheme="minorEastAsia" w:eastAsiaTheme="minorEastAsia"/>
              </w:rPr>
              <w:t>表”。</w:t>
            </w:r>
            <w:r>
              <w:rPr>
                <w:rFonts w:hint="eastAsia" w:asciiTheme="minorEastAsia" w:hAnsiTheme="minorEastAsia" w:eastAsiaTheme="minorEastAsia"/>
                <w:lang w:val="en-US" w:eastAsia="zh-CN"/>
              </w:rPr>
              <w:t>对公司及各部门的风险进行了识别并制定了相应的控制措施；抽查公司及财务部</w:t>
            </w:r>
            <w:r>
              <w:rPr>
                <w:rFonts w:hint="eastAsia" w:asciiTheme="minorEastAsia" w:hAnsiTheme="minorEastAsia" w:eastAsiaTheme="minorEastAsia"/>
              </w:rPr>
              <w:t>识别的主要风险和机遇及控制措施有：</w:t>
            </w:r>
          </w:p>
          <w:p>
            <w:pPr>
              <w:pStyle w:val="14"/>
              <w:spacing w:line="276" w:lineRule="auto"/>
              <w:rPr>
                <w:rFonts w:hint="eastAsia"/>
                <w:lang w:val="en-US" w:eastAsia="zh-CN"/>
              </w:rPr>
            </w:pPr>
            <w:r>
              <w:drawing>
                <wp:inline distT="0" distB="0" distL="114300" distR="114300">
                  <wp:extent cx="4853940" cy="164592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853940" cy="1645920"/>
                          </a:xfrm>
                          <a:prstGeom prst="rect">
                            <a:avLst/>
                          </a:prstGeom>
                          <a:noFill/>
                          <a:ln>
                            <a:noFill/>
                          </a:ln>
                        </pic:spPr>
                      </pic:pic>
                    </a:graphicData>
                  </a:graphic>
                </wp:inline>
              </w:drawing>
            </w:r>
          </w:p>
          <w:p>
            <w:pPr>
              <w:pStyle w:val="14"/>
              <w:spacing w:line="276" w:lineRule="auto"/>
              <w:rPr>
                <w:rFonts w:hint="eastAsia"/>
                <w:lang w:val="en-US" w:eastAsia="zh-CN"/>
              </w:rPr>
            </w:pPr>
          </w:p>
          <w:p>
            <w:pPr>
              <w:pStyle w:val="14"/>
              <w:spacing w:line="276" w:lineRule="auto"/>
            </w:pPr>
            <w:r>
              <w:rPr>
                <w:rFonts w:hint="eastAsia"/>
                <w:lang w:val="en-US" w:eastAsia="zh-CN"/>
              </w:rPr>
              <w:t>---</w:t>
            </w:r>
            <w:r>
              <w:rPr>
                <w:rFonts w:hint="eastAsia"/>
              </w:rPr>
              <w:t>变更的策划：</w:t>
            </w:r>
          </w:p>
          <w:p>
            <w:pPr>
              <w:pStyle w:val="15"/>
              <w:ind w:firstLine="420" w:firstLineChars="200"/>
              <w:rPr>
                <w:rFonts w:hint="default" w:asciiTheme="minorEastAsia" w:hAnsiTheme="minorEastAsia" w:eastAsiaTheme="minorEastAsia"/>
                <w:lang w:val="en-US" w:eastAsia="zh-CN"/>
              </w:rPr>
            </w:pPr>
            <w:r>
              <w:rPr>
                <w:rFonts w:hint="eastAsia" w:asciiTheme="minorEastAsia" w:hAnsiTheme="minorEastAsia" w:eastAsiaTheme="minorEastAsia"/>
              </w:rPr>
              <w:t>总经理介绍，</w:t>
            </w:r>
            <w:r>
              <w:rPr>
                <w:rFonts w:hint="eastAsia" w:asciiTheme="minorEastAsia" w:hAnsiTheme="minorEastAsia" w:eastAsiaTheme="minorEastAsia"/>
                <w:lang w:val="en-US" w:eastAsia="zh-CN"/>
              </w:rPr>
              <w:t>体系与上审核年度无变化。</w:t>
            </w:r>
          </w:p>
          <w:p>
            <w:pPr>
              <w:pStyle w:val="13"/>
              <w:rPr>
                <w:rFonts w:hint="default"/>
                <w:lang w:val="en-US" w:eastAsia="zh-CN"/>
              </w:rPr>
            </w:pPr>
            <w:r>
              <w:rPr>
                <w:rFonts w:hint="eastAsia" w:asciiTheme="minorEastAsia" w:hAnsiTheme="minorEastAsia" w:eastAsiaTheme="minorEastAsia"/>
              </w:rPr>
              <w:t>——年度保持基本满足要求。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管理体系范围确定的适宜性和充分性及体系过程</w:t>
            </w:r>
          </w:p>
        </w:tc>
        <w:tc>
          <w:tcPr>
            <w:tcW w:w="960" w:type="dxa"/>
          </w:tcPr>
          <w:p>
            <w:r>
              <w:rPr>
                <w:rFonts w:hint="eastAsia"/>
              </w:rPr>
              <w:t>4.3、4.4</w:t>
            </w:r>
          </w:p>
        </w:tc>
        <w:tc>
          <w:tcPr>
            <w:tcW w:w="10004" w:type="dxa"/>
          </w:tcPr>
          <w:p>
            <w:pPr>
              <w:spacing w:line="276" w:lineRule="auto"/>
              <w:jc w:val="left"/>
              <w:rPr>
                <w:rFonts w:ascii="宋体" w:hAnsi="宋体" w:cs="宋体"/>
                <w:szCs w:val="21"/>
              </w:rPr>
            </w:pPr>
            <w:r>
              <w:rPr>
                <w:rFonts w:hint="eastAsia" w:ascii="宋体" w:hAnsi="宋体" w:cs="宋体"/>
                <w:szCs w:val="21"/>
              </w:rPr>
              <w:t>经确认：</w:t>
            </w:r>
          </w:p>
          <w:p>
            <w:pPr>
              <w:spacing w:line="276" w:lineRule="auto"/>
              <w:jc w:val="left"/>
              <w:rPr>
                <w:rFonts w:ascii="MingLiU"/>
                <w:szCs w:val="21"/>
              </w:rPr>
            </w:pPr>
            <w:r>
              <w:rPr>
                <w:rFonts w:hint="eastAsia" w:ascii="宋体" w:hAnsi="宋体" w:cs="宋体"/>
                <w:szCs w:val="21"/>
              </w:rPr>
              <w:t>QMS范围：</w:t>
            </w:r>
            <w:r>
              <w:rPr>
                <w:sz w:val="20"/>
              </w:rPr>
              <w:t>金属磨料（钢丸、钢砂）的生产和销售</w:t>
            </w:r>
            <w:r>
              <w:rPr>
                <w:rFonts w:hint="eastAsia" w:ascii="宋体" w:hAnsi="宋体" w:cs="黑体"/>
                <w:szCs w:val="21"/>
              </w:rPr>
              <w:t>。</w:t>
            </w:r>
          </w:p>
          <w:p>
            <w:pPr>
              <w:spacing w:line="276" w:lineRule="auto"/>
              <w:jc w:val="left"/>
            </w:pPr>
            <w:r>
              <w:rPr>
                <w:rFonts w:hint="eastAsia" w:ascii="宋体" w:hAnsi="宋体" w:cs="宋体"/>
                <w:szCs w:val="21"/>
              </w:rPr>
              <w:t>范围边界：</w:t>
            </w:r>
            <w:bookmarkStart w:id="4" w:name="注册地址"/>
            <w:r>
              <w:rPr>
                <w:rFonts w:asciiTheme="minorEastAsia" w:hAnsiTheme="minorEastAsia" w:eastAsiaTheme="minorEastAsia"/>
                <w:sz w:val="20"/>
              </w:rPr>
              <w:t>湖北省襄阳市襄城区环山路</w:t>
            </w:r>
            <w:bookmarkEnd w:id="4"/>
            <w:r>
              <w:rPr>
                <w:rFonts w:hint="eastAsia"/>
              </w:rPr>
              <w:t>。</w:t>
            </w:r>
          </w:p>
          <w:p>
            <w:pPr>
              <w:spacing w:line="276" w:lineRule="auto"/>
              <w:jc w:val="left"/>
              <w:rPr>
                <w:rFonts w:ascii="宋体" w:hAnsi="宋体" w:cs="宋体"/>
                <w:szCs w:val="21"/>
              </w:rPr>
            </w:pPr>
            <w:r>
              <w:rPr>
                <w:rFonts w:hint="eastAsia" w:ascii="宋体" w:hAnsi="宋体" w:cs="宋体"/>
                <w:szCs w:val="21"/>
              </w:rPr>
              <w:t>经识别和确认外包过程：</w:t>
            </w:r>
            <w:r>
              <w:rPr>
                <w:rFonts w:hint="eastAsia" w:ascii="宋体" w:hAnsi="宋体" w:cs="宋体"/>
                <w:kern w:val="0"/>
                <w:szCs w:val="21"/>
              </w:rPr>
              <w:t>公司产品均为</w:t>
            </w:r>
            <w:r>
              <w:rPr>
                <w:rFonts w:hint="eastAsia" w:ascii="宋体" w:hAnsi="宋体" w:cs="宋体"/>
                <w:kern w:val="0"/>
                <w:szCs w:val="21"/>
                <w:lang w:val="en-US" w:eastAsia="zh-CN"/>
              </w:rPr>
              <w:t>半成品</w:t>
            </w:r>
            <w:r>
              <w:rPr>
                <w:rFonts w:hint="eastAsia" w:ascii="宋体" w:hAnsi="宋体" w:cs="宋体"/>
                <w:kern w:val="0"/>
                <w:szCs w:val="21"/>
              </w:rPr>
              <w:t>加</w:t>
            </w:r>
            <w:r>
              <w:rPr>
                <w:rFonts w:hint="eastAsia" w:ascii="宋体" w:hAnsi="宋体" w:cs="宋体"/>
                <w:kern w:val="0"/>
                <w:szCs w:val="21"/>
                <w:lang w:val="en-US" w:eastAsia="zh-CN"/>
              </w:rPr>
              <w:t>工</w:t>
            </w:r>
            <w:r>
              <w:rPr>
                <w:rFonts w:hint="eastAsia" w:ascii="宋体" w:hAnsi="宋体" w:cs="宋体"/>
                <w:kern w:val="0"/>
                <w:szCs w:val="21"/>
              </w:rPr>
              <w:t>生产，暂无外包过程发生</w:t>
            </w:r>
            <w:r>
              <w:rPr>
                <w:rFonts w:hint="eastAsia" w:ascii="宋体" w:hAnsi="宋体" w:cs="宋体"/>
                <w:szCs w:val="21"/>
              </w:rPr>
              <w:t>。</w:t>
            </w:r>
          </w:p>
          <w:p>
            <w:pPr>
              <w:pStyle w:val="14"/>
              <w:spacing w:line="276" w:lineRule="auto"/>
              <w:rPr>
                <w:rFonts w:asciiTheme="minorEastAsia" w:hAnsiTheme="minorEastAsia" w:eastAsiaTheme="minorEastAsia"/>
              </w:rPr>
            </w:pPr>
            <w:r>
              <w:rPr>
                <w:rFonts w:hint="eastAsia" w:asciiTheme="minorEastAsia" w:hAnsiTheme="minorEastAsia" w:eastAsiaTheme="minorEastAsia"/>
              </w:rPr>
              <w:t>主要生产及销售过程为：</w:t>
            </w:r>
          </w:p>
          <w:p>
            <w:pPr>
              <w:tabs>
                <w:tab w:val="left" w:pos="2295"/>
              </w:tabs>
              <w:rPr>
                <w:rFonts w:hint="eastAsia"/>
                <w:sz w:val="21"/>
                <w:szCs w:val="21"/>
                <w:lang w:eastAsia="zh-CN"/>
              </w:rPr>
            </w:pPr>
            <w:r>
              <w:rPr>
                <w:rFonts w:hint="eastAsia"/>
                <w:sz w:val="21"/>
                <w:szCs w:val="21"/>
              </w:rPr>
              <w:t>钢丸</w:t>
            </w:r>
            <w:r>
              <w:rPr>
                <w:rFonts w:hint="eastAsia"/>
                <w:sz w:val="21"/>
                <w:szCs w:val="21"/>
                <w:lang w:val="en-US" w:eastAsia="zh-CN"/>
              </w:rPr>
              <w:t>：</w:t>
            </w:r>
            <w:r>
              <w:rPr>
                <w:rFonts w:hint="eastAsia"/>
                <w:sz w:val="21"/>
                <w:szCs w:val="21"/>
              </w:rPr>
              <w:t>热处理淬火－－热处理回火</w:t>
            </w:r>
            <w:r>
              <w:rPr>
                <w:sz w:val="21"/>
                <w:szCs w:val="21"/>
              </w:rPr>
              <w:t>---</w:t>
            </w:r>
            <w:r>
              <w:rPr>
                <w:rFonts w:hint="eastAsia"/>
                <w:sz w:val="21"/>
                <w:szCs w:val="21"/>
              </w:rPr>
              <w:t>－筛选钢丸－－回火－－淬火－</w:t>
            </w:r>
            <w:r>
              <w:rPr>
                <w:sz w:val="21"/>
                <w:szCs w:val="21"/>
              </w:rPr>
              <w:t>---</w:t>
            </w:r>
            <w:r>
              <w:rPr>
                <w:rFonts w:hint="eastAsia"/>
                <w:sz w:val="21"/>
                <w:szCs w:val="21"/>
              </w:rPr>
              <w:t>回火</w:t>
            </w:r>
            <w:r>
              <w:rPr>
                <w:sz w:val="21"/>
                <w:szCs w:val="21"/>
              </w:rPr>
              <w:t>----</w:t>
            </w:r>
            <w:r>
              <w:rPr>
                <w:rFonts w:hint="eastAsia"/>
                <w:sz w:val="21"/>
                <w:szCs w:val="21"/>
              </w:rPr>
              <w:t>筛选钢丸</w:t>
            </w:r>
            <w:r>
              <w:rPr>
                <w:sz w:val="21"/>
                <w:szCs w:val="21"/>
              </w:rPr>
              <w:t>---</w:t>
            </w:r>
            <w:r>
              <w:rPr>
                <w:rFonts w:hint="eastAsia"/>
                <w:sz w:val="21"/>
                <w:szCs w:val="21"/>
              </w:rPr>
              <w:t>回火</w:t>
            </w:r>
            <w:r>
              <w:rPr>
                <w:sz w:val="21"/>
                <w:szCs w:val="21"/>
              </w:rPr>
              <w:t>----</w:t>
            </w:r>
            <w:r>
              <w:rPr>
                <w:rFonts w:hint="eastAsia"/>
                <w:sz w:val="21"/>
                <w:szCs w:val="21"/>
              </w:rPr>
              <w:t>包装</w:t>
            </w:r>
            <w:r>
              <w:rPr>
                <w:rFonts w:hint="eastAsia"/>
                <w:sz w:val="21"/>
                <w:szCs w:val="21"/>
                <w:lang w:eastAsia="zh-CN"/>
              </w:rPr>
              <w:t>；</w:t>
            </w:r>
          </w:p>
          <w:p>
            <w:pPr>
              <w:tabs>
                <w:tab w:val="left" w:pos="2295"/>
              </w:tabs>
              <w:rPr>
                <w:sz w:val="21"/>
                <w:szCs w:val="21"/>
              </w:rPr>
            </w:pPr>
            <w:r>
              <w:rPr>
                <w:rFonts w:hint="eastAsia"/>
                <w:sz w:val="21"/>
                <w:szCs w:val="21"/>
              </w:rPr>
              <w:t>钢砂</w:t>
            </w:r>
            <w:r>
              <w:rPr>
                <w:rFonts w:hint="eastAsia"/>
                <w:sz w:val="21"/>
                <w:szCs w:val="21"/>
                <w:lang w:eastAsia="zh-CN"/>
              </w:rPr>
              <w:t>：</w:t>
            </w:r>
            <w:r>
              <w:rPr>
                <w:sz w:val="21"/>
                <w:szCs w:val="21"/>
              </w:rPr>
              <w:t xml:space="preserve"> </w:t>
            </w:r>
            <w:r>
              <w:rPr>
                <w:rFonts w:hint="eastAsia"/>
                <w:sz w:val="21"/>
                <w:szCs w:val="21"/>
              </w:rPr>
              <w:t>破碎－－热处理回火－</w:t>
            </w:r>
            <w:r>
              <w:rPr>
                <w:sz w:val="21"/>
                <w:szCs w:val="21"/>
              </w:rPr>
              <w:t>--</w:t>
            </w:r>
            <w:r>
              <w:rPr>
                <w:rFonts w:hint="eastAsia"/>
                <w:sz w:val="21"/>
                <w:szCs w:val="21"/>
              </w:rPr>
              <w:t>破碎</w:t>
            </w:r>
            <w:r>
              <w:rPr>
                <w:sz w:val="21"/>
                <w:szCs w:val="21"/>
              </w:rPr>
              <w:t>----</w:t>
            </w:r>
            <w:r>
              <w:rPr>
                <w:rFonts w:hint="eastAsia"/>
                <w:sz w:val="21"/>
                <w:szCs w:val="21"/>
              </w:rPr>
              <w:t>回火</w:t>
            </w:r>
            <w:r>
              <w:rPr>
                <w:sz w:val="21"/>
                <w:szCs w:val="21"/>
              </w:rPr>
              <w:t>-----</w:t>
            </w:r>
            <w:r>
              <w:rPr>
                <w:rFonts w:hint="eastAsia"/>
                <w:sz w:val="21"/>
                <w:szCs w:val="21"/>
              </w:rPr>
              <w:t>破碎－回火－－包装</w:t>
            </w:r>
          </w:p>
          <w:p>
            <w:pPr>
              <w:pStyle w:val="14"/>
              <w:spacing w:line="276" w:lineRule="auto"/>
              <w:rPr>
                <w:rFonts w:hint="eastAsia" w:eastAsia="宋体" w:asciiTheme="minorEastAsia" w:hAnsiTheme="minorEastAsia"/>
                <w:lang w:eastAsia="zh-CN"/>
              </w:rPr>
            </w:pPr>
            <w:r>
              <w:rPr>
                <w:rFonts w:hint="eastAsia" w:cs="宋体" w:asciiTheme="minorEastAsia" w:hAnsiTheme="minorEastAsia" w:eastAsiaTheme="minorEastAsia"/>
                <w:szCs w:val="21"/>
                <w:lang w:val="en-US" w:eastAsia="zh-CN"/>
              </w:rPr>
              <w:t>销售：</w:t>
            </w:r>
            <w:r>
              <w:rPr>
                <w:rFonts w:hint="eastAsia" w:cs="宋体" w:asciiTheme="minorEastAsia" w:hAnsiTheme="minorEastAsia" w:eastAsiaTheme="minorEastAsia"/>
                <w:szCs w:val="21"/>
              </w:rPr>
              <w:t>客户</w:t>
            </w:r>
            <w:r>
              <w:rPr>
                <w:rFonts w:hint="eastAsia" w:cs="宋体" w:asciiTheme="minorEastAsia" w:hAnsiTheme="minorEastAsia" w:eastAsiaTheme="minorEastAsia"/>
                <w:szCs w:val="21"/>
                <w:lang w:val="en-US" w:eastAsia="zh-CN"/>
              </w:rPr>
              <w:t>接洽</w:t>
            </w:r>
            <w:r>
              <w:rPr>
                <w:rFonts w:hint="eastAsia"/>
                <w:sz w:val="21"/>
                <w:szCs w:val="21"/>
              </w:rPr>
              <w:t>－－</w:t>
            </w:r>
            <w:r>
              <w:rPr>
                <w:rFonts w:hint="eastAsia" w:cs="宋体" w:asciiTheme="minorEastAsia" w:hAnsiTheme="minorEastAsia" w:eastAsiaTheme="minorEastAsia"/>
                <w:szCs w:val="21"/>
              </w:rPr>
              <w:t>签订合同</w:t>
            </w:r>
            <w:r>
              <w:rPr>
                <w:rFonts w:hint="eastAsia"/>
                <w:sz w:val="21"/>
                <w:szCs w:val="21"/>
              </w:rPr>
              <w:t>－－</w:t>
            </w:r>
            <w:r>
              <w:rPr>
                <w:rFonts w:hint="eastAsia"/>
                <w:sz w:val="21"/>
                <w:szCs w:val="21"/>
                <w:lang w:val="en-US" w:eastAsia="zh-CN"/>
              </w:rPr>
              <w:t>销售服务</w:t>
            </w:r>
            <w:r>
              <w:rPr>
                <w:rFonts w:hint="eastAsia"/>
                <w:sz w:val="21"/>
                <w:szCs w:val="21"/>
              </w:rPr>
              <w:t>－－</w:t>
            </w:r>
            <w:r>
              <w:rPr>
                <w:rFonts w:hint="eastAsia" w:cs="宋体" w:asciiTheme="minorEastAsia" w:hAnsiTheme="minorEastAsia" w:eastAsiaTheme="minorEastAsia"/>
                <w:szCs w:val="21"/>
                <w:lang w:val="en-US" w:eastAsia="zh-CN"/>
              </w:rPr>
              <w:t>回款</w:t>
            </w:r>
          </w:p>
          <w:p>
            <w:r>
              <w:rPr>
                <w:rFonts w:hint="eastAsia" w:ascii="宋体" w:hAnsi="宋体" w:cs="宋体"/>
                <w:szCs w:val="21"/>
              </w:rPr>
              <w:t>——上述经本次现场审核确认有效。</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rPr>
              <w:t>组织方针、目标建立的适宜性和实施的有效性</w:t>
            </w:r>
          </w:p>
        </w:tc>
        <w:tc>
          <w:tcPr>
            <w:tcW w:w="960" w:type="dxa"/>
          </w:tcPr>
          <w:p>
            <w:r>
              <w:rPr>
                <w:rFonts w:hint="eastAsia"/>
              </w:rPr>
              <w:t>5.2、6.2</w:t>
            </w:r>
          </w:p>
        </w:tc>
        <w:tc>
          <w:tcPr>
            <w:tcW w:w="10004" w:type="dxa"/>
          </w:tcPr>
          <w:p>
            <w:pPr>
              <w:pStyle w:val="15"/>
            </w:pPr>
            <w:r>
              <w:rPr>
                <w:rFonts w:hint="eastAsia"/>
                <w:lang w:val="en-US" w:eastAsia="zh-CN"/>
              </w:rPr>
              <w:t>---</w:t>
            </w:r>
            <w:r>
              <w:rPr>
                <w:rFonts w:hint="eastAsia"/>
              </w:rPr>
              <w:t>在管理手册中建立公司的质量、环境和职业健康安全管理方针和目标，基本适宜。</w:t>
            </w:r>
          </w:p>
          <w:p>
            <w:pPr>
              <w:pStyle w:val="15"/>
            </w:pPr>
            <w:r>
              <w:rPr>
                <w:rFonts w:hint="eastAsia"/>
                <w:lang w:val="en-US" w:eastAsia="zh-CN"/>
              </w:rPr>
              <w:t>---</w:t>
            </w:r>
            <w:r>
              <w:rPr>
                <w:rFonts w:hint="eastAsia"/>
              </w:rPr>
              <w:t>质量方针与公司战略相适宜。</w:t>
            </w:r>
          </w:p>
          <w:p>
            <w:pPr>
              <w:pStyle w:val="15"/>
            </w:pPr>
            <w:r>
              <w:rPr>
                <w:rFonts w:hint="eastAsia"/>
                <w:lang w:val="en-US" w:eastAsia="zh-CN"/>
              </w:rPr>
              <w:t>---</w:t>
            </w:r>
            <w:r>
              <w:rPr>
                <w:rFonts w:hint="eastAsia"/>
              </w:rPr>
              <w:t>目标可测量。</w:t>
            </w:r>
          </w:p>
          <w:p>
            <w:pPr>
              <w:pStyle w:val="15"/>
            </w:pPr>
            <w:r>
              <w:rPr>
                <w:rFonts w:hint="eastAsia"/>
                <w:lang w:val="en-US" w:eastAsia="zh-CN"/>
              </w:rPr>
              <w:t>---</w:t>
            </w:r>
            <w:r>
              <w:rPr>
                <w:rFonts w:hint="eastAsia"/>
              </w:rPr>
              <w:t>通过发放文件、会议（每周部门会议，每月公司会议）、培训等方式向员工传达，使得员工理解和应用。</w:t>
            </w:r>
          </w:p>
          <w:p>
            <w:pPr>
              <w:pStyle w:val="15"/>
            </w:pPr>
            <w:r>
              <w:rPr>
                <w:rFonts w:hint="eastAsia"/>
                <w:lang w:val="en-US" w:eastAsia="zh-CN"/>
              </w:rPr>
              <w:t>---</w:t>
            </w:r>
            <w:r>
              <w:rPr>
                <w:rFonts w:hint="eastAsia"/>
              </w:rPr>
              <w:t>建立管理体系，以实现公司的目标。</w:t>
            </w:r>
          </w:p>
          <w:p>
            <w:pPr>
              <w:pStyle w:val="15"/>
            </w:pPr>
            <w:r>
              <w:rPr>
                <w:rFonts w:hint="eastAsia"/>
                <w:lang w:val="en-US" w:eastAsia="zh-CN"/>
              </w:rPr>
              <w:t>---</w:t>
            </w:r>
            <w:r>
              <w:rPr>
                <w:rFonts w:hint="eastAsia"/>
              </w:rPr>
              <w:t>管理评审中对适宜性进行评审。</w:t>
            </w:r>
          </w:p>
          <w:p>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控制基本满足要求。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rPr>
            </w:pPr>
            <w:r>
              <w:rPr>
                <w:rFonts w:hint="eastAsia"/>
              </w:rPr>
              <w:t>组织架构及职责分配的适宜性</w:t>
            </w:r>
          </w:p>
        </w:tc>
        <w:tc>
          <w:tcPr>
            <w:tcW w:w="960" w:type="dxa"/>
          </w:tcPr>
          <w:p>
            <w:pPr>
              <w:rPr>
                <w:rFonts w:hint="eastAsia"/>
              </w:rPr>
            </w:pPr>
            <w:r>
              <w:t>5.3</w:t>
            </w:r>
          </w:p>
        </w:tc>
        <w:tc>
          <w:tcPr>
            <w:tcW w:w="10004" w:type="dxa"/>
          </w:tcPr>
          <w:p>
            <w:pPr>
              <w:spacing w:line="276" w:lineRule="auto"/>
              <w:jc w:val="left"/>
              <w:rPr>
                <w:rFonts w:ascii="宋体" w:hAnsi="宋体" w:cs="宋体"/>
                <w:szCs w:val="21"/>
              </w:rPr>
            </w:pPr>
            <w:r>
              <w:rPr>
                <w:rFonts w:hint="eastAsia" w:ascii="宋体" w:hAnsi="宋体" w:cs="宋体"/>
                <w:szCs w:val="21"/>
                <w:lang w:val="en-US" w:eastAsia="zh-CN"/>
              </w:rPr>
              <w:t>---</w:t>
            </w:r>
            <w:r>
              <w:rPr>
                <w:rFonts w:hint="eastAsia" w:ascii="宋体" w:hAnsi="宋体" w:cs="宋体"/>
                <w:szCs w:val="21"/>
              </w:rPr>
              <w:t>核查其组织架构为：总经理为最高领导，下设</w:t>
            </w:r>
            <w:r>
              <w:rPr>
                <w:rFonts w:hint="eastAsia" w:ascii="宋体" w:hAnsi="宋体" w:cs="宋体"/>
                <w:szCs w:val="21"/>
                <w:lang w:val="en-US" w:eastAsia="zh-CN"/>
              </w:rPr>
              <w:t>行政部</w:t>
            </w:r>
            <w:r>
              <w:rPr>
                <w:rFonts w:hint="eastAsia" w:ascii="宋体" w:hAnsi="宋体" w:cs="宋体"/>
                <w:szCs w:val="21"/>
              </w:rPr>
              <w:t>部、</w:t>
            </w:r>
            <w:r>
              <w:rPr>
                <w:rFonts w:hint="eastAsia" w:ascii="宋体" w:hAnsi="宋体" w:cs="宋体"/>
                <w:szCs w:val="21"/>
                <w:lang w:val="en-US" w:eastAsia="zh-CN"/>
              </w:rPr>
              <w:t>业务</w:t>
            </w:r>
            <w:r>
              <w:rPr>
                <w:rFonts w:hint="eastAsia" w:ascii="宋体" w:hAnsi="宋体" w:cs="宋体"/>
                <w:szCs w:val="21"/>
              </w:rPr>
              <w:t>部、生</w:t>
            </w:r>
            <w:r>
              <w:rPr>
                <w:rFonts w:hint="eastAsia" w:ascii="宋体" w:hAnsi="宋体" w:cs="宋体"/>
                <w:szCs w:val="21"/>
                <w:lang w:val="en-US" w:eastAsia="zh-CN"/>
              </w:rPr>
              <w:t>产</w:t>
            </w:r>
            <w:r>
              <w:rPr>
                <w:rFonts w:hint="eastAsia" w:ascii="宋体" w:hAnsi="宋体" w:cs="宋体"/>
                <w:szCs w:val="21"/>
              </w:rPr>
              <w:t>部、</w:t>
            </w:r>
            <w:r>
              <w:rPr>
                <w:rFonts w:hint="eastAsia" w:ascii="宋体" w:hAnsi="宋体" w:cs="宋体"/>
                <w:szCs w:val="21"/>
                <w:lang w:val="en-US" w:eastAsia="zh-CN"/>
              </w:rPr>
              <w:t>品质</w:t>
            </w:r>
            <w:r>
              <w:rPr>
                <w:rFonts w:hint="eastAsia" w:ascii="宋体" w:hAnsi="宋体" w:cs="宋体"/>
                <w:szCs w:val="21"/>
              </w:rPr>
              <w:t>部等主要职能部门。从部门设置上来看，其涵括了公司产品经营全过程以及体系支持过程，无过程职责管理遗漏。组织架构稳定，职责分配适宜。</w:t>
            </w:r>
          </w:p>
          <w:p>
            <w:pPr>
              <w:spacing w:line="276" w:lineRule="auto"/>
              <w:jc w:val="left"/>
              <w:rPr>
                <w:rFonts w:ascii="宋体" w:hAnsi="宋体" w:cs="宋体"/>
                <w:szCs w:val="21"/>
              </w:rPr>
            </w:pPr>
            <w:r>
              <w:rPr>
                <w:rFonts w:hint="eastAsia" w:ascii="宋体" w:hAnsi="宋体" w:cs="宋体"/>
                <w:szCs w:val="21"/>
                <w:lang w:val="en-US" w:eastAsia="zh-CN"/>
              </w:rPr>
              <w:t>---</w:t>
            </w:r>
            <w:r>
              <w:rPr>
                <w:rFonts w:hint="eastAsia" w:ascii="宋体" w:hAnsi="宋体" w:cs="宋体"/>
                <w:szCs w:val="21"/>
              </w:rPr>
              <w:t>核查其体系建设以</w:t>
            </w:r>
            <w:r>
              <w:rPr>
                <w:rFonts w:hint="eastAsia" w:ascii="宋体" w:hAnsi="宋体" w:cs="宋体"/>
                <w:szCs w:val="21"/>
                <w:lang w:val="en-US" w:eastAsia="zh-CN"/>
              </w:rPr>
              <w:t>行政</w:t>
            </w:r>
            <w:r>
              <w:rPr>
                <w:rFonts w:hint="eastAsia" w:ascii="宋体" w:hAnsi="宋体" w:cs="宋体"/>
                <w:szCs w:val="21"/>
              </w:rPr>
              <w:t>部为主导部门，其它各部门在其职责范围进行有效配合，在主管领导的指挥下，在</w:t>
            </w:r>
            <w:r>
              <w:rPr>
                <w:rFonts w:hint="eastAsia" w:ascii="宋体" w:hAnsi="宋体" w:cs="宋体"/>
                <w:szCs w:val="21"/>
                <w:lang w:val="en-US" w:eastAsia="zh-CN"/>
              </w:rPr>
              <w:t>行政</w:t>
            </w:r>
            <w:r>
              <w:rPr>
                <w:rFonts w:hint="eastAsia" w:ascii="宋体" w:hAnsi="宋体" w:cs="宋体"/>
                <w:szCs w:val="21"/>
              </w:rPr>
              <w:t>部的统一协调下，组织实施质量体系策划、监督运行管理、综合绩效监控，同时各部门承担相应的业务过程中的质量责任。这些职能分配过程中充分考虑了质量共性要求，并在职责文件中进行了有效整合。</w:t>
            </w:r>
          </w:p>
          <w:p>
            <w:pPr>
              <w:rPr>
                <w:rFonts w:hint="eastAsia" w:asciiTheme="minorEastAsia" w:hAnsiTheme="minorEastAsia" w:eastAsiaTheme="minorEastAsia"/>
                <w:szCs w:val="21"/>
                <w:lang w:eastAsia="zh-CN"/>
              </w:rPr>
            </w:pPr>
            <w:r>
              <w:rPr>
                <w:rFonts w:hint="eastAsia" w:ascii="宋体" w:hAnsi="宋体" w:cs="宋体"/>
                <w:szCs w:val="21"/>
              </w:rPr>
              <w:t>——管理职责分配适宜，体系职责整合程度较高。</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rPr>
            </w:pPr>
            <w:r>
              <w:rPr>
                <w:rFonts w:hint="eastAsia" w:ascii="宋体" w:hAnsi="宋体"/>
              </w:rPr>
              <w:t>管理评审的实施及作用</w:t>
            </w:r>
          </w:p>
        </w:tc>
        <w:tc>
          <w:tcPr>
            <w:tcW w:w="960" w:type="dxa"/>
          </w:tcPr>
          <w:p>
            <w:pPr>
              <w:rPr>
                <w:rFonts w:hint="default" w:eastAsia="宋体"/>
                <w:lang w:val="en-US" w:eastAsia="zh-CN"/>
              </w:rPr>
            </w:pPr>
            <w:r>
              <w:rPr>
                <w:rFonts w:hint="eastAsia"/>
                <w:lang w:val="en-US" w:eastAsia="zh-CN"/>
              </w:rPr>
              <w:t>9.3</w:t>
            </w:r>
          </w:p>
        </w:tc>
        <w:tc>
          <w:tcPr>
            <w:tcW w:w="10004" w:type="dxa"/>
          </w:tcPr>
          <w:p>
            <w:pPr>
              <w:pStyle w:val="15"/>
              <w:spacing w:line="240" w:lineRule="auto"/>
              <w:rPr>
                <w:rFonts w:hint="eastAsia" w:ascii="Times New Roman" w:hAnsi="Times New Roman" w:eastAsia="宋体"/>
                <w:b w:val="0"/>
                <w:bCs w:val="0"/>
                <w:sz w:val="21"/>
                <w:szCs w:val="21"/>
                <w:highlight w:val="none"/>
                <w:lang w:val="en-US" w:eastAsia="zh-CN"/>
              </w:rPr>
            </w:pPr>
            <w:r>
              <w:rPr>
                <w:rFonts w:hint="eastAsia" w:ascii="Times New Roman" w:hAnsi="Times New Roman"/>
                <w:b w:val="0"/>
                <w:bCs w:val="0"/>
                <w:sz w:val="21"/>
                <w:szCs w:val="21"/>
                <w:highlight w:val="none"/>
                <w:lang w:val="en-US" w:eastAsia="zh-CN"/>
              </w:rPr>
              <w:t>策划有《</w:t>
            </w:r>
            <w:r>
              <w:rPr>
                <w:rFonts w:hint="eastAsia" w:ascii="宋体" w:hAnsi="宋体"/>
                <w:b w:val="0"/>
                <w:bCs w:val="0"/>
                <w:color w:val="auto"/>
                <w:sz w:val="21"/>
                <w:szCs w:val="21"/>
                <w:highlight w:val="none"/>
              </w:rPr>
              <w:t>管理评审控制程序</w:t>
            </w:r>
            <w:r>
              <w:rPr>
                <w:rFonts w:hint="eastAsia" w:ascii="宋体" w:hAnsi="宋体"/>
                <w:b w:val="0"/>
                <w:bCs w:val="0"/>
                <w:color w:val="auto"/>
                <w:sz w:val="21"/>
                <w:szCs w:val="21"/>
                <w:highlight w:val="none"/>
                <w:lang w:eastAsia="zh-CN"/>
              </w:rPr>
              <w:t>》，</w:t>
            </w:r>
            <w:r>
              <w:rPr>
                <w:rFonts w:hint="eastAsia" w:ascii="宋体" w:hAnsi="宋体"/>
                <w:b w:val="0"/>
                <w:bCs w:val="0"/>
                <w:color w:val="auto"/>
                <w:sz w:val="21"/>
                <w:szCs w:val="21"/>
                <w:highlight w:val="none"/>
                <w:lang w:val="en-US" w:eastAsia="zh-CN"/>
              </w:rPr>
              <w:t>规定了控制准则</w:t>
            </w:r>
            <w:r>
              <w:rPr>
                <w:rFonts w:hint="eastAsia" w:ascii="宋体" w:hAnsi="宋体"/>
                <w:b w:val="0"/>
                <w:bCs w:val="0"/>
                <w:color w:val="auto"/>
                <w:sz w:val="21"/>
                <w:szCs w:val="21"/>
                <w:highlight w:val="none"/>
                <w:lang w:eastAsia="zh-CN"/>
              </w:rPr>
              <w:t>。</w:t>
            </w:r>
          </w:p>
          <w:p>
            <w:pPr>
              <w:pStyle w:val="15"/>
              <w:spacing w:line="240" w:lineRule="auto"/>
              <w:rPr>
                <w:rFonts w:hint="default" w:ascii="Times New Roman" w:hAnsi="Times New Roman" w:eastAsia="宋体"/>
                <w:b w:val="0"/>
                <w:bCs w:val="0"/>
                <w:sz w:val="21"/>
                <w:szCs w:val="21"/>
                <w:highlight w:val="none"/>
                <w:lang w:val="en-US" w:eastAsia="zh-CN"/>
              </w:rPr>
            </w:pPr>
            <w:r>
              <w:rPr>
                <w:rFonts w:hint="eastAsia" w:ascii="Times New Roman" w:hAnsi="Times New Roman"/>
                <w:b w:val="0"/>
                <w:bCs w:val="0"/>
                <w:sz w:val="21"/>
                <w:szCs w:val="21"/>
                <w:highlight w:val="none"/>
              </w:rPr>
              <w:t>公司在2</w:t>
            </w:r>
            <w:r>
              <w:rPr>
                <w:rFonts w:ascii="Times New Roman" w:hAnsi="Times New Roman"/>
                <w:b w:val="0"/>
                <w:bCs w:val="0"/>
                <w:sz w:val="21"/>
                <w:szCs w:val="21"/>
                <w:highlight w:val="none"/>
              </w:rPr>
              <w:t>02</w:t>
            </w:r>
            <w:r>
              <w:rPr>
                <w:rFonts w:hint="eastAsia" w:ascii="Times New Roman" w:hAnsi="Times New Roman"/>
                <w:b w:val="0"/>
                <w:bCs w:val="0"/>
                <w:sz w:val="21"/>
                <w:szCs w:val="21"/>
                <w:highlight w:val="none"/>
                <w:lang w:val="en-US" w:eastAsia="zh-CN"/>
              </w:rPr>
              <w:t>2.1</w:t>
            </w:r>
            <w:bookmarkStart w:id="5" w:name="_GoBack"/>
            <w:bookmarkEnd w:id="5"/>
            <w:r>
              <w:rPr>
                <w:rFonts w:hint="eastAsia" w:ascii="Times New Roman" w:hAnsi="Times New Roman"/>
                <w:b w:val="0"/>
                <w:bCs w:val="0"/>
                <w:sz w:val="21"/>
                <w:szCs w:val="21"/>
                <w:highlight w:val="none"/>
                <w:lang w:val="en-US" w:eastAsia="zh-CN"/>
              </w:rPr>
              <w:t>.28.计划，2022.2.5.实施</w:t>
            </w:r>
            <w:r>
              <w:rPr>
                <w:rFonts w:hint="eastAsia" w:ascii="Times New Roman" w:hAnsi="Times New Roman"/>
                <w:b w:val="0"/>
                <w:bCs w:val="0"/>
                <w:sz w:val="21"/>
                <w:szCs w:val="21"/>
                <w:highlight w:val="none"/>
              </w:rPr>
              <w:t>了管理评审活动</w:t>
            </w:r>
            <w:r>
              <w:rPr>
                <w:rFonts w:hint="eastAsia" w:ascii="Times New Roman" w:hAnsi="Times New Roman"/>
                <w:b w:val="0"/>
                <w:bCs w:val="0"/>
                <w:sz w:val="21"/>
                <w:szCs w:val="21"/>
                <w:highlight w:val="none"/>
                <w:lang w:val="en-US" w:eastAsia="zh-CN"/>
              </w:rPr>
              <w:t>，</w:t>
            </w:r>
            <w:r>
              <w:rPr>
                <w:rFonts w:hint="eastAsia" w:ascii="Times New Roman" w:hAnsi="Times New Roman"/>
                <w:b w:val="0"/>
                <w:bCs w:val="0"/>
                <w:sz w:val="21"/>
                <w:szCs w:val="21"/>
                <w:highlight w:val="none"/>
              </w:rPr>
              <w:t>管理评审策划和实施的时间、覆盖的范围、输入、输出</w:t>
            </w:r>
            <w:r>
              <w:rPr>
                <w:rFonts w:hint="eastAsia" w:ascii="Times New Roman" w:hAnsi="Times New Roman"/>
                <w:b w:val="0"/>
                <w:bCs w:val="0"/>
                <w:sz w:val="21"/>
                <w:szCs w:val="21"/>
                <w:highlight w:val="none"/>
                <w:lang w:eastAsia="zh-CN"/>
              </w:rPr>
              <w:t>、</w:t>
            </w:r>
            <w:r>
              <w:rPr>
                <w:rFonts w:hint="eastAsia" w:ascii="Times New Roman" w:hAnsi="Times New Roman"/>
                <w:b w:val="0"/>
                <w:bCs w:val="0"/>
                <w:sz w:val="21"/>
                <w:szCs w:val="21"/>
                <w:highlight w:val="none"/>
                <w:lang w:val="en-US" w:eastAsia="zh-CN"/>
              </w:rPr>
              <w:t>结论及改进措施，</w:t>
            </w:r>
            <w:r>
              <w:rPr>
                <w:rFonts w:hint="eastAsia" w:ascii="Times New Roman" w:hAnsi="Times New Roman"/>
                <w:b w:val="0"/>
                <w:bCs w:val="0"/>
                <w:sz w:val="21"/>
                <w:szCs w:val="21"/>
                <w:highlight w:val="none"/>
              </w:rPr>
              <w:t>均符合规定要求；</w:t>
            </w:r>
            <w:r>
              <w:rPr>
                <w:rFonts w:hint="eastAsia" w:ascii="Times New Roman" w:hAnsi="Times New Roman"/>
                <w:b w:val="0"/>
                <w:bCs w:val="0"/>
                <w:sz w:val="21"/>
                <w:szCs w:val="21"/>
                <w:highlight w:val="none"/>
                <w:lang w:val="en-US" w:eastAsia="zh-CN"/>
              </w:rPr>
              <w:t>提供有手写签到表。抽查内容如下：</w:t>
            </w:r>
          </w:p>
          <w:p>
            <w:pPr>
              <w:widowControl/>
              <w:numPr>
                <w:ilvl w:val="0"/>
                <w:numId w:val="1"/>
              </w:numPr>
              <w:spacing w:line="240" w:lineRule="auto"/>
              <w:rPr>
                <w:rFonts w:hint="eastAsia" w:asciiTheme="minorEastAsia" w:hAnsiTheme="minorEastAsia" w:eastAsiaTheme="minorEastAsia"/>
                <w:b w:val="0"/>
                <w:bCs w:val="0"/>
                <w:sz w:val="21"/>
                <w:szCs w:val="21"/>
                <w:highlight w:val="none"/>
              </w:rPr>
            </w:pPr>
            <w:r>
              <w:rPr>
                <w:rFonts w:hint="eastAsia" w:asciiTheme="minorEastAsia" w:hAnsiTheme="minorEastAsia" w:eastAsiaTheme="minorEastAsia"/>
                <w:b w:val="0"/>
                <w:bCs w:val="0"/>
                <w:sz w:val="21"/>
                <w:szCs w:val="21"/>
                <w:highlight w:val="none"/>
              </w:rPr>
              <w:t>评审输入：</w:t>
            </w:r>
          </w:p>
          <w:p>
            <w:pPr>
              <w:pStyle w:val="15"/>
              <w:spacing w:line="240" w:lineRule="auto"/>
              <w:rPr>
                <w:rFonts w:hint="eastAsia" w:ascii="宋体" w:hAnsi="宋体" w:eastAsia="宋体" w:cs="Times New Roman"/>
                <w:b w:val="0"/>
                <w:bCs w:val="0"/>
                <w:color w:val="auto"/>
                <w:sz w:val="21"/>
                <w:szCs w:val="21"/>
                <w:highlight w:val="none"/>
                <w:lang w:val="en-US" w:eastAsia="zh-CN"/>
              </w:rPr>
            </w:pPr>
            <w:r>
              <w:rPr>
                <w:rFonts w:hint="eastAsia"/>
                <w:lang w:val="en-US" w:eastAsia="zh-CN"/>
              </w:rPr>
              <w:t>1</w:t>
            </w:r>
            <w:r>
              <w:rPr>
                <w:rFonts w:hint="eastAsia" w:ascii="宋体" w:hAnsi="宋体" w:eastAsia="宋体" w:cs="Times New Roman"/>
                <w:b w:val="0"/>
                <w:bCs w:val="0"/>
                <w:color w:val="auto"/>
                <w:sz w:val="21"/>
                <w:szCs w:val="21"/>
                <w:highlight w:val="none"/>
                <w:lang w:val="en-US" w:eastAsia="zh-CN"/>
              </w:rPr>
              <w:t>）与管理体系相关的内外部因素变化情况；</w:t>
            </w:r>
          </w:p>
          <w:p>
            <w:pPr>
              <w:pStyle w:val="15"/>
              <w:spacing w:line="240" w:lineRule="auto"/>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2）顾客满意度情况，顾客及其它相关方的有关的信息反馈情况；</w:t>
            </w:r>
          </w:p>
          <w:p>
            <w:pPr>
              <w:pStyle w:val="15"/>
              <w:spacing w:line="240" w:lineRule="auto"/>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3）由行政部对管理目标达成情况及公司管理运作总体状况进行分析总结；</w:t>
            </w:r>
          </w:p>
          <w:p>
            <w:pPr>
              <w:pStyle w:val="15"/>
              <w:spacing w:line="240" w:lineRule="auto"/>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4）生产和服务运行过程控制状况，管理绩效情况；各部门对过程绩效进行分析总结；</w:t>
            </w:r>
          </w:p>
          <w:p>
            <w:pPr>
              <w:pStyle w:val="15"/>
              <w:spacing w:line="240" w:lineRule="auto"/>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5）生产和服务的不合格情况，事故事件和统计分析报告，纠正措施实施状况；由管理体系负责人提出管理体系执行及修正状况并寻求改进的机会；</w:t>
            </w:r>
          </w:p>
          <w:p>
            <w:pPr>
              <w:pStyle w:val="15"/>
              <w:spacing w:line="240" w:lineRule="auto"/>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6）生产和服务中的监视和测量情况；</w:t>
            </w:r>
          </w:p>
          <w:p>
            <w:pPr>
              <w:pStyle w:val="15"/>
              <w:spacing w:line="240" w:lineRule="auto"/>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7）由管理体系负责人提出内外部审核结果及改善情况，并对审核中重大问题进行总结；</w:t>
            </w:r>
          </w:p>
          <w:p>
            <w:pPr>
              <w:pStyle w:val="15"/>
              <w:spacing w:line="240" w:lineRule="auto"/>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8）外部供方的绩效情况；</w:t>
            </w:r>
          </w:p>
          <w:p>
            <w:pPr>
              <w:pStyle w:val="15"/>
              <w:spacing w:line="240" w:lineRule="auto"/>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9）生产和服务资源的配置情况；</w:t>
            </w:r>
          </w:p>
          <w:p>
            <w:pPr>
              <w:pStyle w:val="15"/>
              <w:spacing w:line="240" w:lineRule="auto"/>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10）应对风险和机遇的控制情况；</w:t>
            </w:r>
          </w:p>
          <w:p>
            <w:pPr>
              <w:pStyle w:val="15"/>
              <w:spacing w:line="240" w:lineRule="auto"/>
              <w:rPr>
                <w:rFonts w:hint="eastAsia" w:ascii="宋体" w:hAnsi="宋体" w:eastAsia="宋体" w:cs="Times New Roman"/>
                <w:b w:val="0"/>
                <w:bCs w:val="0"/>
                <w:color w:val="auto"/>
                <w:sz w:val="21"/>
                <w:szCs w:val="21"/>
                <w:highlight w:val="none"/>
                <w:lang w:val="en-US" w:eastAsia="zh-CN"/>
              </w:rPr>
            </w:pPr>
            <w:r>
              <w:rPr>
                <w:rFonts w:hint="eastAsia" w:ascii="宋体" w:hAnsi="宋体" w:eastAsia="宋体" w:cs="Times New Roman"/>
                <w:b w:val="0"/>
                <w:bCs w:val="0"/>
                <w:color w:val="auto"/>
                <w:sz w:val="21"/>
                <w:szCs w:val="21"/>
                <w:highlight w:val="none"/>
                <w:lang w:val="en-US" w:eastAsia="zh-CN"/>
              </w:rPr>
              <w:t>11）各部门对管理体系改进提出建议。</w:t>
            </w:r>
          </w:p>
          <w:p>
            <w:pPr>
              <w:spacing w:line="240" w:lineRule="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2、评审结论：</w:t>
            </w:r>
          </w:p>
          <w:p>
            <w:pPr>
              <w:spacing w:line="240" w:lineRule="auto"/>
              <w:ind w:firstLine="420" w:firstLineChars="200"/>
              <w:rPr>
                <w:rFonts w:hint="eastAsia" w:ascii="宋体" w:hAnsi="宋体" w:cs="宋体"/>
                <w:b w:val="0"/>
                <w:bCs w:val="0"/>
                <w:sz w:val="21"/>
                <w:szCs w:val="21"/>
                <w:highlight w:val="none"/>
                <w:lang w:eastAsia="zh-CN"/>
              </w:rPr>
            </w:pPr>
            <w:r>
              <w:rPr>
                <w:rFonts w:hint="eastAsia" w:ascii="宋体" w:hAnsi="宋体" w:cs="宋体"/>
                <w:b w:val="0"/>
                <w:bCs w:val="0"/>
                <w:sz w:val="21"/>
                <w:szCs w:val="21"/>
                <w:highlight w:val="none"/>
              </w:rPr>
              <w:t>本公司的管理体系与标准的要求一致，体系策划是充分的，体系文件与公司目前的现状相一致，是适宜，体系经过现阶段的运行是有效的</w:t>
            </w:r>
            <w:r>
              <w:rPr>
                <w:rFonts w:hint="eastAsia" w:ascii="宋体" w:hAnsi="宋体" w:cs="宋体"/>
                <w:b w:val="0"/>
                <w:bCs w:val="0"/>
                <w:sz w:val="21"/>
                <w:szCs w:val="21"/>
                <w:highlight w:val="none"/>
                <w:lang w:eastAsia="zh-CN"/>
              </w:rPr>
              <w:t>。</w:t>
            </w:r>
          </w:p>
          <w:p>
            <w:pPr>
              <w:spacing w:line="240" w:lineRule="auto"/>
              <w:ind w:firstLine="420" w:firstLineChars="200"/>
              <w:rPr>
                <w:rFonts w:hint="eastAsia" w:ascii="宋体" w:hAnsi="宋体" w:cs="宋体"/>
                <w:b w:val="0"/>
                <w:bCs w:val="0"/>
                <w:sz w:val="21"/>
                <w:szCs w:val="21"/>
                <w:highlight w:val="none"/>
              </w:rPr>
            </w:pPr>
            <w:r>
              <w:rPr>
                <w:rFonts w:hint="eastAsia" w:ascii="宋体" w:hAnsi="宋体" w:cs="宋体"/>
                <w:b w:val="0"/>
                <w:bCs w:val="0"/>
                <w:sz w:val="21"/>
                <w:szCs w:val="21"/>
                <w:highlight w:val="none"/>
              </w:rPr>
              <w:t>决策事项：</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1、人力资源略显不足，需要进一步加强培训、引进或招聘各领域骨干，充实人力资源。</w:t>
            </w: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2、进一步做好老产品的改进工作。</w:t>
            </w:r>
          </w:p>
          <w:p>
            <w:pPr>
              <w:rPr>
                <w:rFonts w:hint="eastAsia" w:ascii="宋体" w:hAnsi="宋体" w:cs="宋体"/>
                <w:szCs w:val="21"/>
              </w:rPr>
            </w:pPr>
            <w:r>
              <w:rPr>
                <w:rFonts w:hint="eastAsia" w:ascii="Times New Roman" w:hAnsi="Times New Roman"/>
                <w:b w:val="0"/>
                <w:bCs w:val="0"/>
                <w:sz w:val="21"/>
                <w:szCs w:val="21"/>
                <w:highlight w:val="none"/>
              </w:rPr>
              <w:t>——</w:t>
            </w:r>
            <w:r>
              <w:rPr>
                <w:rFonts w:hint="eastAsia" w:ascii="Times New Roman" w:hAnsi="Times New Roman"/>
                <w:b w:val="0"/>
                <w:bCs w:val="0"/>
                <w:sz w:val="21"/>
                <w:szCs w:val="21"/>
                <w:highlight w:val="none"/>
                <w:lang w:val="en-US" w:eastAsia="zh-CN"/>
              </w:rPr>
              <w:t>年度保持</w:t>
            </w:r>
            <w:r>
              <w:rPr>
                <w:rFonts w:hint="eastAsia"/>
                <w:b w:val="0"/>
                <w:bCs w:val="0"/>
                <w:sz w:val="21"/>
                <w:szCs w:val="21"/>
                <w:highlight w:val="none"/>
                <w:lang w:val="en-US" w:eastAsia="zh-CN"/>
              </w:rPr>
              <w:t>基本</w:t>
            </w:r>
            <w:r>
              <w:rPr>
                <w:rFonts w:hint="eastAsia" w:ascii="Times New Roman" w:hAnsi="Times New Roman"/>
                <w:b w:val="0"/>
                <w:bCs w:val="0"/>
                <w:sz w:val="21"/>
                <w:szCs w:val="21"/>
                <w:highlight w:val="none"/>
              </w:rPr>
              <w:t>符合标准要求。</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ascii="宋体" w:hAnsi="宋体"/>
              </w:rPr>
            </w:pPr>
            <w:r>
              <w:rPr>
                <w:rFonts w:hint="eastAsia" w:ascii="宋体" w:hAnsi="宋体" w:eastAsia="宋体" w:cs="Times New Roman"/>
                <w:b w:val="0"/>
                <w:bCs w:val="0"/>
                <w:sz w:val="21"/>
                <w:szCs w:val="21"/>
                <w:lang w:val="en-US" w:eastAsia="zh-CN"/>
              </w:rPr>
              <w:t>上次审核不符合项的验证；产品质量状况(包括质量事件、顾客投诉、监督部门抽查/检测等)</w:t>
            </w:r>
          </w:p>
        </w:tc>
        <w:tc>
          <w:tcPr>
            <w:tcW w:w="960" w:type="dxa"/>
          </w:tcPr>
          <w:p>
            <w:pPr>
              <w:rPr>
                <w:rFonts w:hint="eastAsia"/>
                <w:lang w:val="en-US" w:eastAsia="zh-CN"/>
              </w:rPr>
            </w:pPr>
          </w:p>
        </w:tc>
        <w:tc>
          <w:tcPr>
            <w:tcW w:w="10004" w:type="dxa"/>
          </w:tcPr>
          <w:p>
            <w:pPr>
              <w:rPr>
                <w:rFonts w:hint="eastAsia"/>
                <w:lang w:val="en-US" w:eastAsia="zh-CN"/>
              </w:rPr>
            </w:pPr>
            <w:r>
              <w:rPr>
                <w:rFonts w:hint="eastAsia"/>
                <w:lang w:val="en-US" w:eastAsia="zh-CN"/>
              </w:rPr>
              <w:t>---经核查，上次审核不符合项本次审核并未发现。</w:t>
            </w:r>
          </w:p>
          <w:p>
            <w:pPr>
              <w:rPr>
                <w:rFonts w:hint="eastAsia"/>
                <w:lang w:val="en-US" w:eastAsia="zh-CN"/>
              </w:rPr>
            </w:pPr>
            <w:r>
              <w:rPr>
                <w:rFonts w:hint="eastAsia"/>
                <w:lang w:val="en-US" w:eastAsia="zh-CN"/>
              </w:rPr>
              <w:t>---经核查，营业执照包含产品范围及物理边界。</w:t>
            </w:r>
          </w:p>
          <w:p>
            <w:pPr>
              <w:rPr>
                <w:rFonts w:hint="eastAsia"/>
                <w:lang w:val="en-US" w:eastAsia="zh-CN"/>
              </w:rPr>
            </w:pPr>
            <w:r>
              <w:rPr>
                <w:rFonts w:hint="eastAsia"/>
                <w:lang w:val="en-US" w:eastAsia="zh-CN"/>
              </w:rPr>
              <w:t>---经核查，国家企业信用公示系统显示本年度未发生行政处罚信息。</w:t>
            </w:r>
          </w:p>
          <w:p>
            <w:pPr>
              <w:rPr>
                <w:rFonts w:hint="eastAsia"/>
                <w:lang w:val="en-US" w:eastAsia="zh-CN"/>
              </w:rPr>
            </w:pPr>
            <w:r>
              <w:rPr>
                <w:rFonts w:hint="eastAsia"/>
                <w:lang w:val="en-US" w:eastAsia="zh-CN"/>
              </w:rPr>
              <w:t>管代承诺，本年度内未发生顾客投诉、大批量退货等质量事故，未发生环境污染、职业健康安全事件。</w:t>
            </w:r>
          </w:p>
          <w:p>
            <w:pPr>
              <w:pStyle w:val="2"/>
              <w:ind w:left="0" w:leftChars="0" w:firstLine="0" w:firstLineChars="0"/>
              <w:rPr>
                <w:rFonts w:hint="default"/>
                <w:lang w:val="en-US" w:eastAsia="zh-CN"/>
              </w:rPr>
            </w:pPr>
            <w:r>
              <w:drawing>
                <wp:inline distT="0" distB="0" distL="114300" distR="114300">
                  <wp:extent cx="4084955" cy="2503170"/>
                  <wp:effectExtent l="0" t="0" r="14605"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084955" cy="2503170"/>
                          </a:xfrm>
                          <a:prstGeom prst="rect">
                            <a:avLst/>
                          </a:prstGeom>
                          <a:noFill/>
                          <a:ln>
                            <a:noFill/>
                          </a:ln>
                        </pic:spPr>
                      </pic:pic>
                    </a:graphicData>
                  </a:graphic>
                </wp:inline>
              </w:drawing>
            </w:r>
          </w:p>
        </w:tc>
        <w:tc>
          <w:tcPr>
            <w:tcW w:w="1585" w:type="dxa"/>
          </w:tcPr>
          <w:p>
            <w:pPr>
              <w:rPr>
                <w:rFonts w:hint="eastAsia" w:eastAsia="宋体"/>
                <w:lang w:val="en-US" w:eastAsia="zh-CN"/>
              </w:rPr>
            </w:pPr>
            <w:r>
              <w:rPr>
                <w:rFonts w:hint="eastAsia"/>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MingLiU">
    <w:altName w:val="Microsoft JhengHei"/>
    <w:panose1 w:val="02010609000101010101"/>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54457"/>
    <w:multiLevelType w:val="singleLevel"/>
    <w:tmpl w:val="D625445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693E1C"/>
    <w:rsid w:val="00E52F76"/>
    <w:rsid w:val="029E162E"/>
    <w:rsid w:val="030D0D1F"/>
    <w:rsid w:val="087B3EA7"/>
    <w:rsid w:val="0AB87005"/>
    <w:rsid w:val="0ACA6D38"/>
    <w:rsid w:val="0C276337"/>
    <w:rsid w:val="0CD96073"/>
    <w:rsid w:val="0D464D9C"/>
    <w:rsid w:val="0D5F5E5E"/>
    <w:rsid w:val="115F15BE"/>
    <w:rsid w:val="15B4486D"/>
    <w:rsid w:val="182E2185"/>
    <w:rsid w:val="18916C3B"/>
    <w:rsid w:val="189E3CDE"/>
    <w:rsid w:val="18E900C4"/>
    <w:rsid w:val="1997072D"/>
    <w:rsid w:val="1A5A3C35"/>
    <w:rsid w:val="1E7717D8"/>
    <w:rsid w:val="1F9B3338"/>
    <w:rsid w:val="22E20C6B"/>
    <w:rsid w:val="23E822B1"/>
    <w:rsid w:val="242B0F32"/>
    <w:rsid w:val="25276E09"/>
    <w:rsid w:val="281F05E7"/>
    <w:rsid w:val="288307FB"/>
    <w:rsid w:val="2C266C8C"/>
    <w:rsid w:val="2CF25F4F"/>
    <w:rsid w:val="2DAF2092"/>
    <w:rsid w:val="32C921A9"/>
    <w:rsid w:val="39C90037"/>
    <w:rsid w:val="3A52002D"/>
    <w:rsid w:val="3B4D41E1"/>
    <w:rsid w:val="3DBE4CCE"/>
    <w:rsid w:val="3FB01F1E"/>
    <w:rsid w:val="400022D9"/>
    <w:rsid w:val="421309EA"/>
    <w:rsid w:val="43246EBD"/>
    <w:rsid w:val="43716226"/>
    <w:rsid w:val="44A619C2"/>
    <w:rsid w:val="45085EB8"/>
    <w:rsid w:val="45E12C1B"/>
    <w:rsid w:val="471C765F"/>
    <w:rsid w:val="488A038B"/>
    <w:rsid w:val="49777AB0"/>
    <w:rsid w:val="4A070E34"/>
    <w:rsid w:val="4B0257A0"/>
    <w:rsid w:val="4C8147A2"/>
    <w:rsid w:val="4E5F7477"/>
    <w:rsid w:val="50085DD6"/>
    <w:rsid w:val="50E413C7"/>
    <w:rsid w:val="523F1387"/>
    <w:rsid w:val="532B0CF5"/>
    <w:rsid w:val="53AA10D0"/>
    <w:rsid w:val="540B1521"/>
    <w:rsid w:val="545B3DD7"/>
    <w:rsid w:val="54AD7595"/>
    <w:rsid w:val="55142657"/>
    <w:rsid w:val="56DB78D0"/>
    <w:rsid w:val="57E44562"/>
    <w:rsid w:val="582D73E2"/>
    <w:rsid w:val="58B918F4"/>
    <w:rsid w:val="59CE54CA"/>
    <w:rsid w:val="5C5B0B6B"/>
    <w:rsid w:val="5E3112DD"/>
    <w:rsid w:val="5FA45357"/>
    <w:rsid w:val="612956DC"/>
    <w:rsid w:val="627524BD"/>
    <w:rsid w:val="629152E7"/>
    <w:rsid w:val="64265F03"/>
    <w:rsid w:val="658630FD"/>
    <w:rsid w:val="66E94E1C"/>
    <w:rsid w:val="6A400065"/>
    <w:rsid w:val="6A633D7D"/>
    <w:rsid w:val="6B8C241B"/>
    <w:rsid w:val="6C507FC1"/>
    <w:rsid w:val="6D40688E"/>
    <w:rsid w:val="6FB470AF"/>
    <w:rsid w:val="7064228D"/>
    <w:rsid w:val="70757FF6"/>
    <w:rsid w:val="719426FE"/>
    <w:rsid w:val="738D5656"/>
    <w:rsid w:val="75D8241B"/>
    <w:rsid w:val="7718792D"/>
    <w:rsid w:val="77585F7B"/>
    <w:rsid w:val="780748D2"/>
    <w:rsid w:val="78B021B4"/>
    <w:rsid w:val="79652930"/>
    <w:rsid w:val="797352EE"/>
    <w:rsid w:val="7AC06311"/>
    <w:rsid w:val="7D8C76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adjustRightInd w:val="0"/>
      <w:spacing w:line="360" w:lineRule="atLeast"/>
      <w:ind w:left="1077"/>
      <w:textAlignment w:val="baseline"/>
    </w:pPr>
    <w:rPr>
      <w:b/>
      <w:kern w:val="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 w:type="paragraph" w:customStyle="1" w:styleId="14">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 w:type="paragraph" w:styleId="1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
    <w:name w:val="{936e4e6e-5310-4269-9eba-5080d9f28de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2476</Words>
  <Characters>2682</Characters>
  <Lines>1</Lines>
  <Paragraphs>1</Paragraphs>
  <TotalTime>11</TotalTime>
  <ScaleCrop>false</ScaleCrop>
  <LinksUpToDate>false</LinksUpToDate>
  <CharactersWithSpaces>2689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匡吉文</cp:lastModifiedBy>
  <dcterms:modified xsi:type="dcterms:W3CDTF">2022-04-20T04:35:05Z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