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9833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条款</w:t>
            </w:r>
          </w:p>
        </w:tc>
        <w:tc>
          <w:tcPr>
            <w:tcW w:w="9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受审核部门：综合部   主管领导：刘洪斌      陪同人员：胡利南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5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QEO:5.3、6.1、6.2、9.1.1、9.2、10.2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EO：6.1.2、 6.1.3、6.1.4、6.2.1、6.2.2、8.1、8.2、9.1.1、9.1.2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O：5.4、7.2、7.3、7.4、7.5</w:t>
            </w:r>
          </w:p>
        </w:tc>
        <w:tc>
          <w:tcPr>
            <w:tcW w:w="175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</w:p>
        </w:tc>
        <w:tc>
          <w:tcPr>
            <w:tcW w:w="983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部门负责人：刘洪斌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询问其职责权限：编写、修订企业质量、职业健康安全和环境管理手册，处理质量、职业健康安全和环境管理体系运行中的有关事项。负责质量、职业健康安全和环境管理体系文件的管理，协助管理者代表组织质量、职业健康安全和环境体系审核工作；负责相关法律、法规及其它要求的识别、获取和更新，并及时将最新要求传达到相关部室和人员；负责公司协商计划及培训计划的编制，负责全公司质量、职业健康安全和环境意识和技能的教育培训工作；负责质量、职业健康安全和环境协商和信息交流管理，及时与相关方沟通；参加重大事故的调查处理，协助做好员工伤亡事故的善后处理工作；制定公司水、电、办公器材管理办法，负责对公司办公区能源、资源的使用进行日常管理，同时负责公司办公和生活区的卫生管理工作；组织汇审、打印、下发上级和有关部门的质量、职业健康安全和环境文件、资料。负责公司的财务工作，负责为公司的环境和职业健康安全管理体系运行提供资金支持。负责市场营销工作；负责组织合同评审，签订合同负责顾客满意度测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负责供方调查、评审和评估等管理工作，负责物资采购管理，建立物资合格供方名册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综合部负责人：刘洪斌。基本清楚本部门职责。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现有上述管理人员配置满足要求，配有与工作相关的电脑、打/复印机、传真机等设施。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应对风险和机遇的措施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Q6.1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E6.1.1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O6.1.1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1.质量风险与机遇：直接产品质量风险与机遇、间接产品质量风险与机遇。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2.环境风险与机遇：主要有自然、人文、政治、经济以及其他。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3.经营风险与机遇：主要有员工、设备、供销链、技术、管理、产品、法律、专利及产权。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4.市场风险与机遇：包括市场容量、竞争力、价格、促销。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5.财务风险与机遇：有融资/筹资、资金偿还、资金使用、资金回收、效益分配。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6.在策划管理体系时考虑了风险和机遇以及相应的应对措施，制定了《风险和机遇分析、评价和应对措施的确定程序》，明确风险和机遇事件的识别方法/途径、风险和机遇事件的评估方式，制定了《企业风险和机遇应对策划表》识别主要风险和机遇事件、应对措施的要求、评价措施有效性等。在管理体系所确定的过程（生产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、供应商的要求等）中，整合制定针对性管理措施（如程序控制等）。提供了“企业风险和机遇应当策划表”，已认真对市场与经营环境风险、重大投资决策失误、采购质量分析、运营规划不当等，主要措施参加行业会议收集行业政策，分析市场环境；每年度公司对生产规模、投资决策企业发展方向根据实际情况召开中层会议讨论作出决策；新购设备，设备技改等，要求项目部相关人员制定方案，采取多方比较，综合考虑；应对措施效果待观察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环境因素、危险源识别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6.1.2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编制了《环境因素识别与评价控制程序》、《危险源辩识与风险评价控制程序》，符合标准要求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提供《环境因素识别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表》，其中包括办公区、生产区等，包括固废排放、火灾、原材料损耗、废气排放、噪声排放等。提供《重要环境因素清单》，其中重要环境因素：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废气的排放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粉尘排放、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固体废弃物排放、噪声排放、意外火灾的发生，评价准确。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提供《危险源识别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一览表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》，按照活动、区域进行了识别，其中包括：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线路老化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违规吸烟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消防设施失效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人走未断电、电线乱拉乱扯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未配置触电保护装置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各种电器漏电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各种电器防护装置失灵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人员未佩戴防护用具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加热塑料颗粒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有害气体逸出诱发职业病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设备无防护装置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设备故障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设备操作噪声排放影响听力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等，评价基本全面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提供《重大危险源清单》，其中重大危险源：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潜在火灾、触电、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伤害、机械伤害、噪声伤害、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意外伤害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评价准确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 w:color="auto"/>
                <w:lang w:eastAsia="zh-CN"/>
              </w:rPr>
              <w:t>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合规义务、法律法规及其他要求</w:t>
            </w:r>
          </w:p>
        </w:tc>
        <w:tc>
          <w:tcPr>
            <w:tcW w:w="960" w:type="dxa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6.1.3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9.1.2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提供公司适用的法律法规及要求清单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</w:rPr>
              <w:t>包括：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环境保护法、环境噪声污染防治法、劳动法、消防法、环境空气质量标准、固体废弃物环境防治法、仓库防火安全管理规则、劳动保护用品管理规定、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提供有《环境法律法规清单》 2021年5月15日，针对污水排放、噪声排放、废气排放、固废、危废的贮存/排放/使用、火灾、产品自身污染、节能降耗等环境因素识别了包括《中华人民共和国水污染防治法》、《中华人民共和国水法》、《水污染物排放许可证管理暂行办法》、《中华人民共和国环境噪声污染防治法》、《中华人民共和国大气污染防治法》、《中华人民共和国固体废弃物污染环境防治法》、《国家危险废物名录》、《中华人民共和国安全生产法》、《危险废物转移联单管理办法》、《中华人民共和国消防法》、《中华人民共和国节约能源法》、《中华人民共和国环境保护法》 《河北省消防条例》《河北省大气污染防治条例(2016)》《河北省固体废物污染环境防治条例》《河北省城市市容和环境卫生条例》《公共场所控制吸烟条例》《污水综合排放标准 GB8978-1996》《大气污染物综合排放标准 GB16297-1996》《工业企业厂界环境噪声排放标准GB12348-2008》等共计29条与环境相关的企业适用法律法规及其他要求，并识别到了对应法规中适用的章节和/或条款。企业于2021年8月21日进行了合规性评价，评价人： 胡利南、刘洪彬 ，评价结果为合规。企业合规义务管控基本符合要求。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措施的策划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EO: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6.1.4</w:t>
            </w:r>
          </w:p>
        </w:tc>
        <w:tc>
          <w:tcPr>
            <w:tcW w:w="9833" w:type="dxa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制定了《法律、法规和其他要求识别管理程序》、《合规性评价程序》、《绩效测量和监视程序》，每年对公司适用的合规义务进行识别更新并定期评价、检查。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识别出不可接受风险为：潜在火灾、爆炸、触电并制定了相应的措施具体参见《重要环境因素清单》、《不可接受风险清单》，该过程的控制基本满足标准要求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管理目标及其实现的策划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9833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公司对管理体系所需的相关职能、层次和过程设定管理目标。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查到综合部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质量、环境、职业健康安全目标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tbl>
            <w:tblPr>
              <w:tblStyle w:val="7"/>
              <w:tblW w:w="84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9"/>
              <w:gridCol w:w="3675"/>
              <w:gridCol w:w="16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ind w:firstLine="720" w:firstLineChars="300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目标</w:t>
                  </w:r>
                </w:p>
              </w:tc>
              <w:tc>
                <w:tcPr>
                  <w:tcW w:w="3675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考核方法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ind w:firstLine="480" w:firstLineChars="200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pStyle w:val="14"/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文件打印分发错误率0；</w:t>
                  </w:r>
                </w:p>
              </w:tc>
              <w:tc>
                <w:tcPr>
                  <w:tcW w:w="3675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文件打印错发放数/需发放数*100%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招聘合格率90%以上</w:t>
                  </w:r>
                </w:p>
              </w:tc>
              <w:tc>
                <w:tcPr>
                  <w:tcW w:w="3675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招聘合格数/总数*100%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培训合格率97%以上</w:t>
                  </w:r>
                </w:p>
              </w:tc>
              <w:tc>
                <w:tcPr>
                  <w:tcW w:w="3675" w:type="dxa"/>
                </w:tcPr>
                <w:p>
                  <w:pPr>
                    <w:pStyle w:val="14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培训合格人次数/培训总人次数*100%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合同评审完成率100%</w:t>
                  </w:r>
                </w:p>
              </w:tc>
              <w:tc>
                <w:tcPr>
                  <w:tcW w:w="3675" w:type="dxa"/>
                </w:tcPr>
                <w:p>
                  <w:pPr>
                    <w:pStyle w:val="14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合同评审数/评审总数*100%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合格供应商评价完成率100%；</w:t>
                  </w:r>
                </w:p>
              </w:tc>
              <w:tc>
                <w:tcPr>
                  <w:tcW w:w="3675" w:type="dxa"/>
                </w:tcPr>
                <w:p>
                  <w:pPr>
                    <w:pStyle w:val="14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培训完成次数/培训计划总数*100%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固体废物100%分类处理；</w:t>
                  </w:r>
                </w:p>
              </w:tc>
              <w:tc>
                <w:tcPr>
                  <w:tcW w:w="3675" w:type="dxa"/>
                </w:tcPr>
                <w:p>
                  <w:pPr>
                    <w:pStyle w:val="14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固废分类处理数/固废总数*100%</w:t>
                  </w:r>
                </w:p>
              </w:tc>
              <w:tc>
                <w:tcPr>
                  <w:tcW w:w="1663" w:type="dxa"/>
                </w:tcPr>
                <w:p>
                  <w:pPr>
                    <w:pStyle w:val="14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29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火灾事故发生率为零。</w:t>
                  </w:r>
                </w:p>
              </w:tc>
              <w:tc>
                <w:tcPr>
                  <w:tcW w:w="3675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火灾事故发生次数</w:t>
                  </w:r>
                </w:p>
              </w:tc>
              <w:tc>
                <w:tcPr>
                  <w:tcW w:w="1663" w:type="dxa"/>
                </w:tcPr>
                <w:p>
                  <w:pPr>
                    <w:spacing w:line="32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0</w:t>
                  </w:r>
                </w:p>
              </w:tc>
            </w:tr>
          </w:tbl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公司指标完成情况每季度考核一次，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目标可测量，与公司QEO管理方针一致。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2022.1.1-2022.3.30 ，目标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考核，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综合部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管理目标均已完成。</w:t>
            </w:r>
          </w:p>
          <w:p>
            <w:pPr>
              <w:pStyle w:val="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7.2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--抽综合办主任、综合部部经理等岗位，符合规定。查内审员经培训考核合格上岗。查对公司目前人员的评价记录，也经过管理评审，确认目前人员能满足岗位要求。 主要对关键工序、特殊工序、操作人员以及公司各级管理人员等进行了评价。提供特殊岗位员工登记表、员工能力考核表。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7.3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主要通过培训提高岗位作业水平和环境意识，明确各岗位要求，自身工作对环境目标的影响，以及如何通过培训和互相交流提高环境绩效等。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现场询问办公室人员清楚与其相关质量/环境/职业健康安全目标、重要环境因素及职业健康安全风险。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7.4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O5.4</w:t>
            </w:r>
          </w:p>
        </w:tc>
        <w:tc>
          <w:tcPr>
            <w:tcW w:w="98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通过学习、宣传等方法使在组织控制范围内的相关工作人员知道质量、环境、职业健康安全方针；相关的质量、环境、职业健康安全目标；员工对质量、环境、职业健康安全管理体系有效性的贡献，包括改进质量环境绩效的益处；不符合质量环境和职业健康安全管理体系要求的后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询问综合部主任刘洪彬、员工知晓公司方针，基本了解所在的工作岗位的质量、环境、职业健康安全目标，也了解自己的工作质量会影响组织资质量、环境、职业健康安全管理体系的有效运行的效果。员工基本明确自身职责及岗位要求，自身工作影响，如何减少环境污染，员工人身安全意识等。基本能满足要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2021年8月15日发出了致相关方告知书，对公司的环境及职业健康体系方面的情况进行了外部沟通。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7.5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2020年5月10日发表实施质量手册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程序文件、作业文件汇编，包括：岗位人员任职要求、管理目标统计分析考核办法、办公室管理制度、销售服务规范等。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经过近2年运行，没有发生变化。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查文件发放：综合部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2020年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月10日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下发了质量、环境、职业健康安全管理手册、程序文件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管理制度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等文件。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查综合部文件有标识，检索方便，文件夹存放于铁制文件柜内，防护符合要求。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公司编制并实施了《记录管理程序》对管理体系记录的标识、贮存、保护、检索、保存期限和处置等作了明确规定，符合要求。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提供《记录清单》，有内审报告、供方评价表、危险源清单、环境因素清单、管理评审报告等记录。明确了记录名称、编号、使用保存部门、保存期限等，并经审核后使用。公司各种记录由各使用部门保存，查阅综合部保存的记录环境情况，归档文件、记录存放于通风、干燥、防蛀的文件柜内，环境干燥、通风，符合文件归档的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抽查归档文件整理情况，综合部已将文件进行了分类，按文件的名称、编号及时间装文件袋进行归档，文件较清洁，字迹清晰，检索方便，抽查有内部审核资料、管理评审资料等，均已装订成册。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外来记录（如顾客投诉记录等）由相关部门负责保管、归档。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原件记录原则上不外借，其它记录查阅时须有关部门同意后，方可查阅。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作废文件：根据文审要求修订了管理手册，替换了修改页，作废页已销毁。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运行控制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EO8.1 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制定实施了《消防安全管理程序》、《环境保护管理办法》、《固体废弃物控制程序》、《能源资源管理程序》、《节约能源资源管理办法》、《仓库管理制度》、《劳保、消防用品管理办法》、《火灾应急响应规范》、《职工安全守则》等环境与安全管理制度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产品的检验采取现场查验合格证、外观、数量、包装的方式进行。现场检验时检验员严格遵守公司的规章制度，尽量采取大箱换小箱的方式节约使用包装物。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检验时注意滑倒、碰伤、砸伤，合格品回用，不合格品退货处理。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查《废弃物处置统计表》，部门办公产生的废纸、采购产品的废旧包装物等废弃物，处理办法：集中卖给回收站；危废（灯管）分类存放，硒鼓墨盒回收交办公耗材公司折价回收。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巡视办公区域灭火器正常，电线、电气插座完整，未见隐患。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办公纸张采取双面打印，人走灯灭，定期检查水管跑冒滴漏。</w:t>
            </w:r>
          </w:p>
          <w:p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公司为员工缴纳了工伤保险，提供了缴纳保险的证据。组织一线员工进行了体检。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部经理介绍：在采购日常管理工作中保障用于安全、环保方面的费用足额、及时筹措到位。确保在劳保用品的购置、安全生产的物资准备、健康体检方面提供资金保障；公司按月为员工办理了法规要求的各种保险，未发生欠缴情况。员工工资、补贴亦未发生拖欠现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查企业为员工缴纳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保险情况：202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份社保缴费金额约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综合部经理介绍，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公司资金投入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2.56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万元用于安全和环境体系的资金；费用包括：安全设备投入、安全防护投入、培训、员工保险、其他费用等。其中，体检投入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余元；环境管理投入约300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元（包括垃圾桶、环境治理方面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综合部经理介绍：在新冠脑炎疫情控制期间，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制定了新冠肺炎疫情防控应急预案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公司所在的小区实行封闭管理，实行一人一卡制，外来人员进入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区必须进行登记以及手接受门岗人员的基本信息询问，测量体温合格后，方可进入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汽车尾气：使用高标号燃油降低汽车尾气有害气体的排放，定期对车辆进行检定，避免事故、尾气达标排放等。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办公过程注意节约用电，做到人走灯灭，电脑长时间不用时关机，下班前要关闭电源；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办公过程产生的固废按办公室要求放到指定地点，现场无混放现象；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生活污水用于绿化、洒水降尘；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普通固废排放：生活办公垃圾按照规定放置指定区域。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1、查策划有《应急准备与响应控制程序》，编制有《火灾事故应急预案》。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2、应急准备工作开展以下活动：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——建立有应急组织，提供应急组织机构图、消防队人员名单、职责权限规定等。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——配备相应的消防器材。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——进行消防常识和能力的培训、潜在的火灾爆炸的常识和能力的培训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3、该部门介绍开展了消防器材的使用和人员紧急疏散演练活动：提供有“消防演习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演练时间：2021年8月16日；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——演练组织部门：办公室；参加人员：全体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——演练效果评价记录：通过演练，证明预案基本适宜，全体人员对预案的要求有了比较适宜的操作方法，可以有效履行预案的要求。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——对消防应急预案的适用性、可操作性进行评审；符合要求。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远程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zh-CN"/>
              </w:rPr>
              <w:t>查看，办公区域、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库房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zh-CN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有消防设施，符合要求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zh-CN"/>
              </w:rPr>
              <w:t>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绩效的监视和测量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9.1.1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编制了《绩效测量、数据分析控制程程序》，通过以下几种方式对运行过程绩效进行监视和测量：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●该公司对管理体系过程进行监视和测量的方法包括：内审、管理评审、目标考核、过程的监视和测量检查等。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内审、管理评审、目标考核详见9.2/9.3/6.2的审核记录.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每月进行一次过程的监视和测量的检查，发现问题立即整改。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查见2020.6/2020.11环境安全运行检查记录，内容包括：部门、检查内容、检查结果、检查人、检查日期。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●日常监督检查：管代负责对各部门的行为进行不定期的巡检。巡检内容包括：办公销售现场管理情况、防护用品的使用情况、消防设施状况等。对发现的问题提出整改要求，责任部门整改，办公室验证整改效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●环境绩效监测：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1）一般固废（废纸张等），按规定收集，卖给废品收购站。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2）提供编号;2021-WWS-E-0489R，2022.1.21 废气的《检测报告》，见附件，有组织排放、无组织排放满足要求。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●职业健康安全绩效监测：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提供员工体检报告，沧州狮城百姓健康医院。见附件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●监测设备：公司暂无环境职业健康安全监测设备。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9.2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企业于2021年9月11日进行内部审核，提供内部审核计划、内审检查表、不合格报告、内部质量管理体系审核报告等，基本符合要求。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——《审核实施计划》，批准：邓长龙。计划中规定审核的目的、依据、范围、时间、审核安排；审核组成员。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计划中没有遗漏标准条款、没有遗漏体系覆盖的部门和场所，内审员没有审核自己的工作。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——内审首末次会议签到（领导层、各部门负责人）；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——本次内审发现1项不合格，在综合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管理部7,2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条款，为一般不符合项，查看《不符合报告》，不符合事实描述清晰，不符合原因分析准确，并制定了纠正及纠正预防措施，且措施可行，并对其有效性进行了验证，验证人：刘洪彬  2021.9.11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—本次内审编制有《内部管理体系审核报告》，对内审进行了综述和体系运行情况的评价，对纠正措施提出整改的要求。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—内审员：刘洪斌、杜永军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结论：公司的质量管理体系基本符合标准要求，且适宜、有效。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10.2</w:t>
            </w:r>
          </w:p>
        </w:tc>
        <w:tc>
          <w:tcPr>
            <w:tcW w:w="983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制定了《不合格品输出控制程序》，内容基本符合标准要求。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7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F17CE3"/>
    <w:rsid w:val="13405B5D"/>
    <w:rsid w:val="282C25BF"/>
    <w:rsid w:val="678A6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6221</Words>
  <Characters>6594</Characters>
  <Lines>1</Lines>
  <Paragraphs>1</Paragraphs>
  <TotalTime>5</TotalTime>
  <ScaleCrop>false</ScaleCrop>
  <LinksUpToDate>false</LinksUpToDate>
  <CharactersWithSpaces>6673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2022-05-21T08:10:26Z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2052-11.1.0.11744</vt:lpwstr>
  </property>
</Properties>
</file>