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157"/>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6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过程与活动、</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抽样计划</w:t>
            </w:r>
          </w:p>
        </w:tc>
        <w:tc>
          <w:tcPr>
            <w:tcW w:w="115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涉及</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受审核部门：管理层   总经理：邓长龙   管代：刘洪斌      陪同人员：侯健 </w:t>
            </w:r>
          </w:p>
        </w:tc>
        <w:tc>
          <w:tcPr>
            <w:tcW w:w="1585" w:type="dxa"/>
            <w:vMerge w:val="restart"/>
            <w:vAlign w:val="center"/>
          </w:tcPr>
          <w:p>
            <w:r>
              <w:rPr>
                <w:rFonts w:hint="eastAsia"/>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6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p>
        </w:tc>
        <w:tc>
          <w:tcPr>
            <w:tcW w:w="115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审核员：</w:t>
            </w:r>
            <w:r>
              <w:rPr>
                <w:rFonts w:hint="eastAsia" w:ascii="宋体" w:hAnsi="宋体" w:cs="宋体"/>
                <w:sz w:val="24"/>
                <w:szCs w:val="24"/>
                <w:lang w:val="en-US" w:eastAsia="zh-CN"/>
              </w:rPr>
              <w:t>李俐</w:t>
            </w:r>
            <w:r>
              <w:rPr>
                <w:rFonts w:hint="eastAsia" w:ascii="宋体" w:hAnsi="宋体" w:eastAsia="宋体" w:cs="宋体"/>
                <w:sz w:val="24"/>
                <w:szCs w:val="24"/>
              </w:rPr>
              <w:t xml:space="preserve">  喻荣秋 </w:t>
            </w:r>
            <w:r>
              <w:rPr>
                <w:rFonts w:hint="eastAsia" w:ascii="宋体" w:hAnsi="宋体" w:cs="宋体"/>
                <w:sz w:val="24"/>
                <w:szCs w:val="24"/>
                <w:lang w:val="en-US" w:eastAsia="zh-CN"/>
              </w:rPr>
              <w:t xml:space="preserve">       </w:t>
            </w:r>
            <w:r>
              <w:rPr>
                <w:rFonts w:hint="eastAsia" w:ascii="宋体" w:hAnsi="宋体" w:eastAsia="宋体" w:cs="宋体"/>
                <w:sz w:val="24"/>
                <w:szCs w:val="24"/>
              </w:rPr>
              <w:t>审核时间：202</w:t>
            </w: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6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p>
        </w:tc>
        <w:tc>
          <w:tcPr>
            <w:tcW w:w="115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审核条款：</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Q</w:t>
            </w:r>
            <w:r>
              <w:rPr>
                <w:rFonts w:hint="eastAsia" w:ascii="宋体" w:hAnsi="宋体" w:cs="宋体"/>
                <w:sz w:val="24"/>
                <w:szCs w:val="24"/>
                <w:lang w:val="en-US" w:eastAsia="zh-CN"/>
              </w:rPr>
              <w:t>EO</w:t>
            </w:r>
            <w:r>
              <w:rPr>
                <w:rFonts w:hint="eastAsia" w:ascii="宋体" w:hAnsi="宋体" w:eastAsia="宋体" w:cs="宋体"/>
                <w:sz w:val="24"/>
                <w:szCs w:val="24"/>
              </w:rPr>
              <w:t>:4.1、4.2、4.3、4.4、5.1、5.2、5.3、</w:t>
            </w:r>
            <w:r>
              <w:rPr>
                <w:rFonts w:hint="eastAsia" w:ascii="宋体" w:hAnsi="宋体" w:cs="宋体"/>
                <w:sz w:val="24"/>
                <w:szCs w:val="24"/>
                <w:lang w:val="en-US" w:eastAsia="zh-CN"/>
              </w:rPr>
              <w:t>O：5.4、</w:t>
            </w:r>
            <w:r>
              <w:rPr>
                <w:rFonts w:hint="eastAsia" w:ascii="宋体" w:hAnsi="宋体" w:eastAsia="宋体" w:cs="宋体"/>
                <w:sz w:val="24"/>
                <w:szCs w:val="24"/>
              </w:rPr>
              <w:t xml:space="preserve">6.1、6.2、6.3、7.1.1、7.4、9.1.1、9.3、10.1、10.3 </w:t>
            </w:r>
            <w:r>
              <w:rPr>
                <w:rFonts w:hint="eastAsia" w:ascii="宋体" w:hAnsi="宋体" w:cs="宋体"/>
                <w:sz w:val="24"/>
                <w:szCs w:val="24"/>
                <w:lang w:eastAsia="zh-CN"/>
              </w:rPr>
              <w:t>；</w:t>
            </w:r>
            <w:r>
              <w:rPr>
                <w:rFonts w:hint="eastAsia" w:ascii="宋体" w:hAnsi="宋体" w:eastAsia="宋体" w:cs="宋体"/>
                <w:sz w:val="24"/>
                <w:szCs w:val="24"/>
              </w:rPr>
              <w:t>标准、规范、法规的执行情况；上次审核不符合项的验证；认证证书、标志的使用情况；投诉或事故；监督抽查情况；体系变化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imes New Roman" w:hAnsi="Times New Roman" w:cs="Times New Roman"/>
              </w:rPr>
            </w:pPr>
            <w:r>
              <w:rPr>
                <w:rFonts w:hint="eastAsia" w:ascii="Times New Roman" w:hAnsi="Times New Roman" w:cs="Times New Roman"/>
              </w:rPr>
              <w:t>理解组织及其环境</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imes New Roman" w:hAnsi="Times New Roman" w:cs="Times New Roman"/>
              </w:rPr>
            </w:pPr>
          </w:p>
        </w:tc>
        <w:tc>
          <w:tcPr>
            <w:tcW w:w="1157"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imes New Roman" w:hAnsi="Times New Roman" w:cs="Times New Roman"/>
              </w:rPr>
            </w:pPr>
            <w:r>
              <w:rPr>
                <w:rFonts w:hint="eastAsia" w:ascii="宋体" w:hAnsi="宋体" w:eastAsia="宋体" w:cs="宋体"/>
                <w:sz w:val="24"/>
                <w:szCs w:val="24"/>
              </w:rPr>
              <w:t>Q</w:t>
            </w:r>
            <w:r>
              <w:rPr>
                <w:rFonts w:hint="eastAsia" w:ascii="宋体" w:hAnsi="宋体" w:cs="宋体"/>
                <w:sz w:val="24"/>
                <w:szCs w:val="24"/>
                <w:lang w:val="en-US" w:eastAsia="zh-CN"/>
              </w:rPr>
              <w:t>EO</w:t>
            </w:r>
            <w:r>
              <w:rPr>
                <w:rFonts w:hint="eastAsia" w:ascii="宋体" w:hAnsi="宋体" w:eastAsia="宋体" w:cs="宋体"/>
                <w:sz w:val="24"/>
                <w:szCs w:val="24"/>
              </w:rPr>
              <w:t>:</w:t>
            </w:r>
            <w:r>
              <w:rPr>
                <w:rFonts w:hint="eastAsia" w:ascii="Times New Roman" w:hAnsi="Times New Roman" w:cs="Times New Roman"/>
              </w:rPr>
              <w:t>4.1</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imes New Roman" w:hAnsi="Times New Roman" w:cs="Times New Roman"/>
              </w:rPr>
            </w:pPr>
            <w:r>
              <w:rPr>
                <w:rFonts w:hint="eastAsia" w:ascii="Times New Roman" w:hAnsi="Times New Roman" w:cs="Times New Roman"/>
              </w:rPr>
              <w:t>公司制定有《内、外部因素识别评价清单》，确定对公司有利的内外部环境因素有：公司全体员工的质量意识比较强，产品质量在同行业中比较领先。公司的设备和生产的技术水平比较先进。对公司不利的内、外部因素有：市场竞争非常激烈，产品销售利润不断降低、员工成本增加。公司通过行业交流会、座谈会、每周工作例会、QQ、微信等进行内外部沟通，并定期进行评审，形成会议记录。</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imes New Roman" w:hAnsi="Times New Roman" w:cs="Times New Roman"/>
                <w:lang w:eastAsia="zh-CN"/>
              </w:rPr>
            </w:pPr>
            <w:r>
              <w:rPr>
                <w:rFonts w:hint="eastAsia" w:ascii="Times New Roman" w:hAnsi="Times New Roman" w:cs="Times New Roman"/>
              </w:rPr>
              <w:t>内外部环境基本无变更。</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imes New Roman" w:hAnsi="Times New Roman" w:cs="Times New Roman"/>
              </w:rPr>
            </w:pPr>
            <w:r>
              <w:rPr>
                <w:rFonts w:hint="eastAsia" w:ascii="Times New Roman" w:hAnsi="Times New Roman" w:cs="Times New Roman"/>
              </w:rPr>
              <w:t>理解相关方的需求和期望</w:t>
            </w:r>
          </w:p>
        </w:tc>
        <w:tc>
          <w:tcPr>
            <w:tcW w:w="1157"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imes New Roman" w:hAnsi="Times New Roman" w:cs="Times New Roman"/>
              </w:rPr>
            </w:pPr>
            <w:r>
              <w:rPr>
                <w:rFonts w:hint="eastAsia" w:ascii="宋体" w:hAnsi="宋体" w:eastAsia="宋体" w:cs="宋体"/>
                <w:sz w:val="24"/>
                <w:szCs w:val="24"/>
              </w:rPr>
              <w:t>Q</w:t>
            </w:r>
            <w:r>
              <w:rPr>
                <w:rFonts w:hint="eastAsia" w:ascii="宋体" w:hAnsi="宋体" w:cs="宋体"/>
                <w:sz w:val="24"/>
                <w:szCs w:val="24"/>
                <w:lang w:val="en-US" w:eastAsia="zh-CN"/>
              </w:rPr>
              <w:t>EO</w:t>
            </w:r>
            <w:r>
              <w:rPr>
                <w:rFonts w:hint="eastAsia" w:ascii="宋体" w:hAnsi="宋体" w:eastAsia="宋体" w:cs="宋体"/>
                <w:sz w:val="24"/>
                <w:szCs w:val="24"/>
              </w:rPr>
              <w:t>:</w:t>
            </w:r>
            <w:r>
              <w:rPr>
                <w:rFonts w:hint="eastAsia" w:ascii="Times New Roman" w:hAnsi="Times New Roman" w:cs="Times New Roman"/>
              </w:rPr>
              <w:t>4.2</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imes New Roman" w:hAnsi="Times New Roman" w:cs="Times New Roman"/>
                <w:lang w:val="zh-CN"/>
              </w:rPr>
            </w:pPr>
            <w:r>
              <w:rPr>
                <w:rFonts w:hint="eastAsia" w:ascii="Times New Roman" w:hAnsi="Times New Roman" w:cs="Times New Roman"/>
              </w:rPr>
              <w:t>提供了：《相关方的需求和期望清单》，相关方包括顾客、供方、员工、政府部门、审核机构、股东等。相关方需求和期望：产品质量符合顾客要求、及时交货、价格合理；合作双赢、及时付款； 薪资、福利增加、培训机会、有发展的空间；公司体系运作的有效性、充分性和符合性；公司战略、绩效等；检测指标或项目：顾客满意度、客户投诉率、交期变更率；供方评价表；工资、晋升制度；基本识别了与组织管理体系有关的相关方和要求</w:t>
            </w:r>
            <w:r>
              <w:rPr>
                <w:rFonts w:hint="eastAsia" w:ascii="Times New Roman" w:hAnsi="Times New Roman" w:cs="Times New Roman"/>
                <w:lang w:val="zh-CN"/>
              </w:rPr>
              <w:t>。</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imes New Roman" w:hAnsi="Times New Roman" w:cs="Times New Roman"/>
              </w:rPr>
            </w:pPr>
            <w:r>
              <w:rPr>
                <w:rFonts w:hint="eastAsia" w:ascii="Times New Roman" w:hAnsi="Times New Roman" w:cs="Times New Roman"/>
              </w:rPr>
              <w:t xml:space="preserve">公司对这些相关方及其要求的相关信息进行制定责任部门制定每年进行一次评审，以便于理解和持续满足相关方的需求和期望。本年度基本无变更 </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管理体系的范围</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lang w:val="en-US" w:eastAsia="zh-CN"/>
              </w:rPr>
            </w:pPr>
          </w:p>
        </w:tc>
        <w:tc>
          <w:tcPr>
            <w:tcW w:w="1157"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ind w:firstLine="240" w:firstLineChars="1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Q</w:t>
            </w:r>
            <w:r>
              <w:rPr>
                <w:rFonts w:hint="eastAsia" w:ascii="宋体" w:hAnsi="宋体" w:cs="宋体"/>
                <w:sz w:val="24"/>
                <w:szCs w:val="24"/>
                <w:lang w:val="en-US" w:eastAsia="zh-CN"/>
              </w:rPr>
              <w:t>EO</w:t>
            </w:r>
            <w:r>
              <w:rPr>
                <w:rFonts w:hint="eastAsia" w:ascii="宋体" w:hAnsi="宋体" w:eastAsia="宋体" w:cs="宋体"/>
                <w:sz w:val="24"/>
                <w:szCs w:val="24"/>
              </w:rPr>
              <w:t>:4.3</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lang w:val="en-US" w:eastAsia="zh-CN"/>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eastAsia="宋体"/>
                <w:lang w:val="en-US" w:eastAsia="zh-CN"/>
              </w:rPr>
            </w:pPr>
            <w:r>
              <w:rPr>
                <w:rFonts w:hint="eastAsia"/>
              </w:rPr>
              <w:t>与总经理邓长龙沟通,介绍了公司于2017年8月31日成立，注册资本3960万元，</w:t>
            </w:r>
            <w:r>
              <w:rPr>
                <w:rFonts w:hint="eastAsia"/>
                <w:lang w:val="en-US" w:eastAsia="zh-CN"/>
              </w:rPr>
              <w:t>2022.1.5的营业执照</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注册地址：河北省唐山市玉田县河北玉田经济开发区</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生产经营地址：河北省唐山市玉田经济开发区后湖产业园</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eastAsia="宋体"/>
                <w:lang w:val="en-US" w:eastAsia="zh-CN"/>
              </w:rPr>
            </w:pPr>
            <w:r>
              <w:rPr>
                <w:rFonts w:hint="eastAsia"/>
                <w:lang w:val="en-US" w:eastAsia="zh-CN"/>
              </w:rPr>
              <w:t>公司经营范围：建筑墙体用混凝土砌块、水工市政用混凝土砌块、其他建筑砌块、水泥混凝土砖、混凝土路缘石、其他水泥混凝土制砖、瓦及类似品研发、制造、销售;砂石料、木材、木制品、建筑材料(石灰及国家限制或禁止经营的产品除外)销售;道路普通货物运输;正餐服务。(依法须经批准的项目，经相关部门批准后方可开展经营活动)</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lang w:val="en-US" w:eastAsia="zh-CN"/>
              </w:rPr>
              <w:t>经</w:t>
            </w:r>
            <w:r>
              <w:rPr>
                <w:rFonts w:hint="eastAsia"/>
              </w:rPr>
              <w:t>确定</w:t>
            </w:r>
            <w:r>
              <w:rPr>
                <w:rFonts w:hint="eastAsia"/>
                <w:lang w:eastAsia="zh-CN"/>
              </w:rPr>
              <w:t>，</w:t>
            </w:r>
            <w:r>
              <w:rPr>
                <w:rFonts w:hint="eastAsia"/>
              </w:rPr>
              <w:t>公司的质量</w:t>
            </w:r>
            <w:r>
              <w:rPr>
                <w:rFonts w:hint="eastAsia"/>
                <w:lang w:eastAsia="zh-CN"/>
              </w:rPr>
              <w:t>、</w:t>
            </w:r>
            <w:r>
              <w:rPr>
                <w:rFonts w:hint="eastAsia"/>
                <w:lang w:val="en-US" w:eastAsia="zh-CN"/>
              </w:rPr>
              <w:t>环境及职业健康</w:t>
            </w:r>
            <w:r>
              <w:rPr>
                <w:rFonts w:hint="eastAsia"/>
              </w:rPr>
              <w:t>管理体系的范围为:</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Q：水泥制品（生态水利环保砌块、园林景观挡墙砌块、劈裂装饰砌块、高强度承重建筑砌块、环保透水路面砖）的生产。</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E：水泥制品（生态水利环保砌块、园林景观挡墙砌块、劈裂装饰砌块、高强度承重建筑砌块、环保透水路面砖）的生产所涉及场所相关的环境管理活动。</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O：水泥制品（生态水利环保砌块、园林景观挡墙砌块、劈裂装饰砌块、高强度承重建筑砌块、环保透水路面砖）的生产所涉及场所相关的职业健康安全管理活动。</w:t>
            </w:r>
          </w:p>
          <w:p>
            <w:pPr>
              <w:spacing w:line="360" w:lineRule="auto"/>
              <w:rPr>
                <w:rFonts w:ascii="宋体" w:hAnsi="宋体" w:cs="宋体"/>
                <w:color w:val="000000"/>
                <w:szCs w:val="21"/>
              </w:rPr>
            </w:pPr>
            <w:r>
              <w:rPr>
                <w:rFonts w:hint="eastAsia" w:ascii="宋体" w:hAnsi="宋体" w:cs="宋体"/>
                <w:color w:val="000000"/>
                <w:szCs w:val="21"/>
              </w:rPr>
              <w:t>经识别，组织依据GB/T19001-2016</w:t>
            </w:r>
            <w:bookmarkStart w:id="0" w:name="E勾选Add1"/>
            <w:r>
              <w:rPr>
                <w:rFonts w:hint="eastAsia" w:ascii="宋体" w:hAnsi="宋体" w:cs="宋体"/>
                <w:color w:val="000000"/>
                <w:szCs w:val="21"/>
                <w:lang w:eastAsia="zh-CN"/>
              </w:rPr>
              <w:t>、</w:t>
            </w:r>
            <w:bookmarkEnd w:id="0"/>
            <w:r>
              <w:rPr>
                <w:rFonts w:hint="eastAsia" w:ascii="宋体" w:hAnsi="宋体" w:cs="宋体"/>
                <w:color w:val="000000"/>
                <w:szCs w:val="21"/>
              </w:rPr>
              <w:t>GB/T24001-2016</w:t>
            </w:r>
            <w:r>
              <w:rPr>
                <w:rFonts w:hint="eastAsia" w:ascii="宋体" w:hAnsi="宋体" w:cs="宋体"/>
                <w:color w:val="000000"/>
                <w:szCs w:val="21"/>
                <w:lang w:eastAsia="zh-CN"/>
              </w:rPr>
              <w:t>、</w:t>
            </w:r>
            <w:r>
              <w:rPr>
                <w:rFonts w:hint="eastAsia" w:ascii="宋体" w:hAnsi="宋体" w:cs="宋体"/>
                <w:color w:val="000000"/>
                <w:szCs w:val="21"/>
              </w:rPr>
              <w:t>GB/T45001-2020标准的要求建立、实施、维护管理体系，符合标准要求。</w:t>
            </w:r>
          </w:p>
          <w:p>
            <w:pPr>
              <w:spacing w:line="360" w:lineRule="auto"/>
              <w:rPr>
                <w:rFonts w:hint="eastAsia" w:ascii="宋体" w:hAnsi="宋体" w:eastAsia="宋体" w:cs="宋体"/>
                <w:sz w:val="24"/>
                <w:szCs w:val="24"/>
                <w:lang w:val="en-US" w:eastAsia="zh-CN"/>
              </w:rPr>
            </w:pPr>
            <w:r>
              <w:rPr>
                <w:rFonts w:hint="eastAsia" w:ascii="宋体" w:hAnsi="宋体" w:cs="宋体"/>
                <w:color w:val="000000"/>
                <w:szCs w:val="21"/>
              </w:rPr>
              <w:t>---不适用条款：</w:t>
            </w:r>
            <w:r>
              <w:rPr>
                <w:rFonts w:hint="eastAsia" w:ascii="宋体" w:hAnsi="宋体" w:cs="宋体"/>
                <w:color w:val="000000"/>
                <w:szCs w:val="21"/>
                <w:lang w:val="en-US" w:eastAsia="zh-CN"/>
              </w:rPr>
              <w:t>8.3公司依据成熟设备图纸和客户技术要求进行生产,因此标准8.3条款“产品和服务的设计和开发”要求不适用。公司确保不适用的质量管理体系的产品和服务的设计和开发要求，不影响组织确保产品和服务合格以及增强顾客满意的能力或责任。</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963" w:type="dxa"/>
            <w:vAlign w:val="center"/>
          </w:tcPr>
          <w:p>
            <w:pPr>
              <w:rPr>
                <w:rFonts w:hint="eastAsia" w:ascii="宋体" w:hAnsi="宋体" w:eastAsia="宋体" w:cs="宋体"/>
                <w:sz w:val="24"/>
                <w:szCs w:val="24"/>
              </w:rPr>
            </w:pPr>
            <w:r>
              <w:rPr>
                <w:rFonts w:hint="eastAsia" w:ascii="宋体" w:hAnsi="宋体" w:eastAsia="宋体" w:cs="宋体"/>
                <w:sz w:val="24"/>
                <w:szCs w:val="24"/>
              </w:rPr>
              <w:t>管理体系及其过程</w:t>
            </w:r>
          </w:p>
          <w:p>
            <w:pPr>
              <w:rPr>
                <w:rFonts w:hint="eastAsia" w:ascii="宋体" w:hAnsi="宋体" w:eastAsia="宋体" w:cs="宋体"/>
                <w:sz w:val="24"/>
                <w:szCs w:val="24"/>
              </w:rPr>
            </w:pPr>
          </w:p>
        </w:tc>
        <w:tc>
          <w:tcPr>
            <w:tcW w:w="1157" w:type="dxa"/>
            <w:vAlign w:val="center"/>
          </w:tcPr>
          <w:p>
            <w:pPr>
              <w:rPr>
                <w:rFonts w:hint="eastAsia" w:ascii="宋体" w:hAnsi="宋体" w:eastAsia="宋体" w:cs="宋体"/>
                <w:sz w:val="24"/>
                <w:szCs w:val="24"/>
              </w:rPr>
            </w:pPr>
            <w:r>
              <w:rPr>
                <w:rFonts w:hint="eastAsia" w:ascii="宋体" w:hAnsi="宋体" w:eastAsia="宋体" w:cs="宋体"/>
                <w:sz w:val="24"/>
                <w:szCs w:val="24"/>
              </w:rPr>
              <w:t>Q</w:t>
            </w:r>
            <w:r>
              <w:rPr>
                <w:rFonts w:hint="eastAsia" w:ascii="宋体" w:hAnsi="宋体" w:cs="宋体"/>
                <w:sz w:val="24"/>
                <w:szCs w:val="24"/>
                <w:lang w:val="en-US" w:eastAsia="zh-CN"/>
              </w:rPr>
              <w:t>EO</w:t>
            </w:r>
            <w:r>
              <w:rPr>
                <w:rFonts w:hint="eastAsia" w:ascii="宋体" w:hAnsi="宋体" w:eastAsia="宋体" w:cs="宋体"/>
                <w:sz w:val="24"/>
                <w:szCs w:val="24"/>
              </w:rPr>
              <w:t>:4.4</w:t>
            </w:r>
          </w:p>
        </w:tc>
        <w:tc>
          <w:tcPr>
            <w:tcW w:w="10004" w:type="dxa"/>
            <w:vAlign w:val="center"/>
          </w:tcPr>
          <w:p>
            <w:pPr>
              <w:spacing w:line="360" w:lineRule="auto"/>
              <w:rPr>
                <w:rFonts w:hint="eastAsia" w:ascii="宋体" w:hAnsi="宋体" w:cs="宋体"/>
                <w:color w:val="000000"/>
                <w:szCs w:val="21"/>
                <w:lang w:val="en-US" w:eastAsia="zh-CN"/>
              </w:rPr>
            </w:pPr>
            <w:r>
              <w:rPr>
                <w:rFonts w:hint="eastAsia" w:ascii="宋体" w:hAnsi="宋体" w:cs="宋体"/>
                <w:color w:val="000000"/>
                <w:szCs w:val="21"/>
                <w:lang w:val="en-US" w:eastAsia="zh-CN"/>
              </w:rPr>
              <w:t>公司按照标准建立了文件化的管理体系，编写了《质量/环境/职业健康安全</w:t>
            </w:r>
          </w:p>
          <w:p>
            <w:pPr>
              <w:spacing w:line="360" w:lineRule="auto"/>
              <w:rPr>
                <w:rFonts w:hint="eastAsia" w:ascii="宋体" w:hAnsi="宋体" w:cs="宋体"/>
                <w:color w:val="000000"/>
                <w:szCs w:val="21"/>
                <w:lang w:val="en-US" w:eastAsia="zh-CN"/>
              </w:rPr>
            </w:pPr>
            <w:r>
              <w:rPr>
                <w:rFonts w:hint="eastAsia" w:ascii="宋体" w:hAnsi="宋体" w:cs="宋体"/>
                <w:color w:val="000000"/>
                <w:szCs w:val="21"/>
                <w:lang w:val="en-US" w:eastAsia="zh-CN"/>
              </w:rPr>
              <w:t>管 理 手 册》及程序文件、三级文件，文件中包括了质量环境职业健康方针、目标,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rPr>
                <w:rFonts w:hint="eastAsia" w:ascii="宋体" w:hAnsi="宋体" w:eastAsia="宋体" w:cs="宋体"/>
                <w:sz w:val="24"/>
                <w:szCs w:val="24"/>
              </w:rPr>
            </w:pPr>
            <w:r>
              <w:rPr>
                <w:rFonts w:hint="eastAsia" w:ascii="宋体" w:hAnsi="宋体" w:cs="宋体"/>
                <w:color w:val="000000"/>
                <w:szCs w:val="21"/>
                <w:lang w:val="en-US" w:eastAsia="zh-CN"/>
              </w:rPr>
              <w:t>公司文件适宜，符合公司规模、人员能力、过程及其相互作用的复杂程度，体系从建立至今运行良好，没有变化。基本符合标准要求。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领导作用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组织的岗位、职责和权限</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1157"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Q</w:t>
            </w:r>
            <w:r>
              <w:rPr>
                <w:rFonts w:hint="eastAsia" w:ascii="宋体" w:hAnsi="宋体" w:cs="宋体"/>
                <w:sz w:val="24"/>
                <w:szCs w:val="24"/>
                <w:lang w:val="en-US" w:eastAsia="zh-CN"/>
              </w:rPr>
              <w:t>EO</w:t>
            </w:r>
            <w:r>
              <w:rPr>
                <w:rFonts w:hint="eastAsia" w:ascii="宋体" w:hAnsi="宋体" w:eastAsia="宋体" w:cs="宋体"/>
                <w:sz w:val="24"/>
                <w:szCs w:val="24"/>
              </w:rPr>
              <w:t>:5.1</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5.3</w:t>
            </w:r>
          </w:p>
        </w:tc>
        <w:tc>
          <w:tcPr>
            <w:tcW w:w="10004" w:type="dxa"/>
            <w:vAlign w:val="center"/>
          </w:tcPr>
          <w:p>
            <w:pPr>
              <w:spacing w:line="360" w:lineRule="auto"/>
              <w:rPr>
                <w:rFonts w:hint="eastAsia" w:ascii="宋体" w:hAnsi="宋体" w:cs="宋体"/>
                <w:color w:val="000000"/>
                <w:szCs w:val="21"/>
                <w:lang w:val="en-US" w:eastAsia="zh-CN"/>
              </w:rPr>
            </w:pPr>
            <w:r>
              <w:rPr>
                <w:rFonts w:hint="eastAsia" w:ascii="宋体" w:hAnsi="宋体" w:cs="宋体"/>
                <w:color w:val="000000"/>
                <w:szCs w:val="21"/>
                <w:lang w:val="en-US" w:eastAsia="zh-CN"/>
              </w:rPr>
              <w:t>总经理：邓长龙   管代：刘洪斌</w:t>
            </w:r>
          </w:p>
          <w:p>
            <w:pPr>
              <w:spacing w:line="360" w:lineRule="auto"/>
              <w:rPr>
                <w:rFonts w:hint="eastAsia" w:ascii="宋体" w:hAnsi="宋体" w:cs="宋体"/>
                <w:color w:val="000000"/>
                <w:szCs w:val="21"/>
                <w:lang w:val="en-US" w:eastAsia="zh-CN"/>
              </w:rPr>
            </w:pPr>
            <w:r>
              <w:rPr>
                <w:rFonts w:hint="eastAsia" w:ascii="宋体" w:hAnsi="宋体" w:cs="宋体"/>
                <w:color w:val="000000"/>
                <w:szCs w:val="21"/>
                <w:lang w:val="en-US" w:eastAsia="zh-CN"/>
              </w:rPr>
              <w:t>企业最高管理者对管理体系的领导作用和承诺主要通过以下方面体现：对质量管理体系的有效性承担责任； 制定质量管理体系的质量方针和质量目标,并与组织环境和战略方向相一致； 将公司质量管理体系要求融入公司的业务过程； 促进管理者在体系策划、运行中使用过程方法和基于风险的思维； 识别公司质量管理体系所需的资源及其更新需要并配备这些资源； 在公司内进行沟通，确保全员理解有效的质量管理和符合质量管理体系要求的重要性，积极主动参与和配合，通过考核、培训、分享知识、奖励制度，促使、指导和支持员工努力提高其素质，提高质量管理体系的有效性和管理绩效；实施各项业务过程，实现公司目标和质量管理体系的预期结果； 推动改进；明确公司内部职责分工，支持其他管理者履行其相关领域的职责。</w:t>
            </w:r>
          </w:p>
          <w:p>
            <w:pPr>
              <w:spacing w:line="360" w:lineRule="auto"/>
              <w:rPr>
                <w:rFonts w:hint="eastAsia" w:ascii="宋体" w:hAnsi="宋体" w:cs="宋体"/>
                <w:color w:val="000000"/>
                <w:szCs w:val="21"/>
                <w:lang w:val="en-US" w:eastAsia="zh-CN"/>
              </w:rPr>
            </w:pPr>
            <w:r>
              <w:rPr>
                <w:rFonts w:hint="eastAsia" w:ascii="宋体" w:hAnsi="宋体" w:cs="宋体"/>
                <w:color w:val="000000"/>
                <w:szCs w:val="21"/>
                <w:lang w:val="en-US" w:eastAsia="zh-CN"/>
              </w:rPr>
              <w:t>领导作用和承诺充分明确，基本符合标准要求。</w:t>
            </w:r>
          </w:p>
          <w:p>
            <w:pPr>
              <w:spacing w:line="360" w:lineRule="auto"/>
              <w:rPr>
                <w:rFonts w:hint="eastAsia" w:ascii="宋体" w:hAnsi="宋体" w:eastAsia="宋体" w:cs="宋体"/>
                <w:sz w:val="24"/>
                <w:szCs w:val="24"/>
              </w:rPr>
            </w:pPr>
            <w:r>
              <w:rPr>
                <w:rFonts w:hint="eastAsia" w:ascii="宋体" w:hAnsi="宋体" w:cs="宋体"/>
                <w:color w:val="000000"/>
                <w:szCs w:val="21"/>
                <w:lang w:val="en-US" w:eastAsia="zh-CN"/>
              </w:rPr>
              <w:t>2020年11月贯标初期,经管理层策划公司的组织机构为2个部门，即综合部、生产部。至今组织机构未变更,在《岗位职责及权限》中明确了各部门的质量职责和权限及其接口关系。查《岗位职责及权限》文件，各部门的职责与权限与《员工岗位能力评估表》基本一致，基本符合标准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963" w:type="dxa"/>
            <w:vAlign w:val="center"/>
          </w:tcPr>
          <w:p>
            <w:pPr>
              <w:spacing w:line="360" w:lineRule="auto"/>
              <w:rPr>
                <w:rFonts w:hint="eastAsia" w:ascii="宋体" w:hAnsi="宋体" w:cs="宋体"/>
                <w:color w:val="000000"/>
                <w:szCs w:val="21"/>
                <w:lang w:val="en-US" w:eastAsia="zh-CN"/>
              </w:rPr>
            </w:pPr>
            <w:r>
              <w:rPr>
                <w:rFonts w:hint="eastAsia" w:ascii="宋体" w:hAnsi="宋体" w:cs="宋体"/>
                <w:color w:val="000000"/>
                <w:szCs w:val="21"/>
                <w:lang w:val="en-US" w:eastAsia="zh-CN"/>
              </w:rPr>
              <w:t>管理方针</w:t>
            </w:r>
          </w:p>
        </w:tc>
        <w:tc>
          <w:tcPr>
            <w:tcW w:w="1157" w:type="dxa"/>
            <w:vAlign w:val="center"/>
          </w:tcPr>
          <w:p>
            <w:pPr>
              <w:spacing w:line="360" w:lineRule="auto"/>
              <w:rPr>
                <w:rFonts w:hint="eastAsia" w:ascii="宋体" w:hAnsi="宋体" w:cs="宋体"/>
                <w:color w:val="000000"/>
                <w:szCs w:val="21"/>
                <w:lang w:val="en-US" w:eastAsia="zh-CN"/>
              </w:rPr>
            </w:pPr>
            <w:r>
              <w:rPr>
                <w:rFonts w:hint="eastAsia" w:ascii="宋体" w:hAnsi="宋体" w:eastAsia="宋体" w:cs="宋体"/>
                <w:sz w:val="24"/>
                <w:szCs w:val="24"/>
              </w:rPr>
              <w:t>Q</w:t>
            </w:r>
            <w:r>
              <w:rPr>
                <w:rFonts w:hint="eastAsia" w:ascii="宋体" w:hAnsi="宋体" w:cs="宋体"/>
                <w:sz w:val="24"/>
                <w:szCs w:val="24"/>
                <w:lang w:val="en-US" w:eastAsia="zh-CN"/>
              </w:rPr>
              <w:t>EO:5.2</w:t>
            </w:r>
          </w:p>
        </w:tc>
        <w:tc>
          <w:tcPr>
            <w:tcW w:w="10004" w:type="dxa"/>
            <w:vAlign w:val="center"/>
          </w:tcPr>
          <w:p>
            <w:pPr>
              <w:spacing w:line="360" w:lineRule="auto"/>
              <w:rPr>
                <w:rFonts w:hint="eastAsia" w:ascii="宋体" w:hAnsi="宋体" w:cs="宋体"/>
                <w:color w:val="000000"/>
                <w:szCs w:val="21"/>
                <w:lang w:val="en-US" w:eastAsia="zh-CN"/>
              </w:rPr>
            </w:pPr>
            <w:r>
              <w:rPr>
                <w:rFonts w:hint="eastAsia" w:ascii="宋体" w:hAnsi="宋体" w:cs="宋体"/>
                <w:color w:val="000000"/>
                <w:szCs w:val="21"/>
                <w:lang w:val="en-US" w:eastAsia="zh-CN"/>
              </w:rPr>
              <w:t>策划了公司的管理方针、管理目标、指标，具体如下:</w:t>
            </w:r>
          </w:p>
          <w:p>
            <w:pPr>
              <w:spacing w:line="360" w:lineRule="auto"/>
              <w:rPr>
                <w:rFonts w:hint="eastAsia" w:ascii="宋体" w:hAnsi="宋体" w:cs="宋体"/>
                <w:color w:val="000000"/>
                <w:szCs w:val="21"/>
                <w:lang w:val="en-US" w:eastAsia="zh-CN"/>
              </w:rPr>
            </w:pPr>
            <w:r>
              <w:rPr>
                <w:rFonts w:hint="eastAsia" w:ascii="宋体" w:hAnsi="宋体" w:cs="宋体"/>
                <w:color w:val="000000"/>
                <w:szCs w:val="21"/>
                <w:lang w:val="en-US" w:eastAsia="zh-CN"/>
              </w:rPr>
              <w:t>质量优良，信誉第一；</w:t>
            </w:r>
          </w:p>
          <w:p>
            <w:pPr>
              <w:spacing w:line="360" w:lineRule="auto"/>
              <w:rPr>
                <w:rFonts w:hint="eastAsia" w:ascii="宋体" w:hAnsi="宋体" w:cs="宋体"/>
                <w:color w:val="000000"/>
                <w:szCs w:val="21"/>
                <w:lang w:val="en-US" w:eastAsia="zh-CN"/>
              </w:rPr>
            </w:pPr>
            <w:r>
              <w:rPr>
                <w:rFonts w:hint="eastAsia" w:ascii="宋体" w:hAnsi="宋体" w:cs="宋体"/>
                <w:color w:val="000000"/>
                <w:szCs w:val="21"/>
                <w:lang w:val="en-US" w:eastAsia="zh-CN"/>
              </w:rPr>
              <w:t>节能降耗，保护环境；</w:t>
            </w:r>
          </w:p>
          <w:p>
            <w:pPr>
              <w:spacing w:line="360" w:lineRule="auto"/>
              <w:rPr>
                <w:rFonts w:hint="eastAsia" w:ascii="宋体" w:hAnsi="宋体" w:cs="宋体"/>
                <w:color w:val="000000"/>
                <w:szCs w:val="21"/>
                <w:lang w:val="en-US" w:eastAsia="zh-CN"/>
              </w:rPr>
            </w:pPr>
            <w:r>
              <w:rPr>
                <w:rFonts w:hint="eastAsia" w:ascii="宋体" w:hAnsi="宋体" w:cs="宋体"/>
                <w:color w:val="000000"/>
                <w:szCs w:val="21"/>
                <w:lang w:val="en-US" w:eastAsia="zh-CN"/>
              </w:rPr>
              <w:t>健康安全，以人为本；</w:t>
            </w:r>
          </w:p>
          <w:p>
            <w:pPr>
              <w:spacing w:line="360" w:lineRule="auto"/>
              <w:rPr>
                <w:rFonts w:hint="eastAsia" w:ascii="宋体" w:hAnsi="宋体" w:cs="宋体"/>
                <w:color w:val="000000"/>
                <w:szCs w:val="21"/>
                <w:lang w:val="zh-CN" w:eastAsia="zh-CN"/>
              </w:rPr>
            </w:pPr>
            <w:r>
              <w:rPr>
                <w:rFonts w:hint="eastAsia" w:ascii="宋体" w:hAnsi="宋体" w:cs="宋体"/>
                <w:color w:val="000000"/>
                <w:szCs w:val="21"/>
                <w:lang w:val="en-US" w:eastAsia="zh-CN"/>
              </w:rPr>
              <w:t>规范管理，持续改进。</w:t>
            </w:r>
          </w:p>
          <w:p>
            <w:pPr>
              <w:spacing w:line="360" w:lineRule="auto"/>
              <w:rPr>
                <w:rFonts w:hint="eastAsia" w:ascii="宋体" w:hAnsi="宋体" w:cs="宋体"/>
                <w:color w:val="000000"/>
                <w:szCs w:val="21"/>
                <w:lang w:val="en-US" w:eastAsia="zh-CN"/>
              </w:rPr>
            </w:pPr>
            <w:r>
              <w:rPr>
                <w:rFonts w:hint="eastAsia" w:ascii="宋体" w:hAnsi="宋体" w:cs="宋体"/>
                <w:color w:val="000000"/>
                <w:szCs w:val="21"/>
                <w:lang w:val="zh-CN" w:eastAsia="zh-CN"/>
              </w:rPr>
              <w:t>管理方针与企业的经营宗旨相适应，协调；通过会议传达，沟通，让全体员工理解执行。并定期进行评审（一般一年一次）。</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963" w:type="dxa"/>
            <w:vAlign w:val="top"/>
          </w:tcPr>
          <w:p>
            <w:pPr>
              <w:rPr>
                <w:rFonts w:hint="eastAsia" w:ascii="Times New Roman" w:hAnsi="Times New Roman" w:cs="Times New Roman"/>
                <w:lang w:val="en-US" w:eastAsia="zh-CN"/>
              </w:rPr>
            </w:pPr>
            <w:r>
              <w:rPr>
                <w:rFonts w:hint="eastAsia" w:ascii="Times New Roman" w:hAnsi="Times New Roman" w:cs="Times New Roman"/>
              </w:rPr>
              <w:t>工作人员的协商和参与</w:t>
            </w:r>
          </w:p>
        </w:tc>
        <w:tc>
          <w:tcPr>
            <w:tcW w:w="1157" w:type="dxa"/>
            <w:vAlign w:val="top"/>
          </w:tcPr>
          <w:p>
            <w:pPr>
              <w:rPr>
                <w:rFonts w:hint="eastAsia" w:ascii="Times New Roman" w:hAnsi="Times New Roman" w:cs="Times New Roman"/>
                <w:lang w:val="en-US" w:eastAsia="zh-CN"/>
              </w:rPr>
            </w:pPr>
            <w:r>
              <w:rPr>
                <w:rFonts w:hint="eastAsia" w:ascii="Times New Roman" w:hAnsi="Times New Roman" w:cs="Times New Roman"/>
              </w:rPr>
              <w:t>O：5.4</w:t>
            </w:r>
          </w:p>
        </w:tc>
        <w:tc>
          <w:tcPr>
            <w:tcW w:w="10004" w:type="dxa"/>
            <w:vAlign w:val="center"/>
          </w:tcPr>
          <w:p>
            <w:pPr>
              <w:spacing w:line="360" w:lineRule="auto"/>
              <w:rPr>
                <w:rFonts w:hint="eastAsia" w:ascii="宋体" w:hAnsi="宋体" w:cs="宋体"/>
                <w:color w:val="000000"/>
                <w:szCs w:val="21"/>
                <w:lang w:val="zh-CN" w:eastAsia="zh-CN"/>
              </w:rPr>
            </w:pPr>
            <w:r>
              <w:rPr>
                <w:rFonts w:hint="eastAsia" w:ascii="宋体" w:hAnsi="宋体" w:cs="宋体"/>
                <w:szCs w:val="21"/>
              </w:rPr>
              <w:t>职业健康安全管理事务代表任命为</w:t>
            </w:r>
            <w:r>
              <w:rPr>
                <w:rFonts w:hint="eastAsia" w:ascii="宋体" w:hAnsi="宋体" w:cs="宋体"/>
                <w:szCs w:val="21"/>
                <w:lang w:val="en-US" w:eastAsia="zh-CN"/>
              </w:rPr>
              <w:t>胡利南</w:t>
            </w:r>
            <w:r>
              <w:rPr>
                <w:rFonts w:hint="eastAsia" w:ascii="宋体" w:hAnsi="宋体" w:cs="宋体"/>
                <w:szCs w:val="21"/>
              </w:rPr>
              <w:t>，公司对履行事务代表以及非管理类工作人员的协商与参与职责进行了规定。</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963" w:type="dxa"/>
            <w:vAlign w:val="center"/>
          </w:tcPr>
          <w:p>
            <w:pPr>
              <w:spacing w:line="360" w:lineRule="auto"/>
              <w:rPr>
                <w:rFonts w:hint="eastAsia" w:ascii="宋体" w:hAnsi="宋体" w:cs="宋体"/>
                <w:szCs w:val="21"/>
                <w:lang w:val="en-US" w:eastAsia="zh-CN"/>
              </w:rPr>
            </w:pPr>
            <w:r>
              <w:rPr>
                <w:rFonts w:hint="eastAsia" w:ascii="宋体" w:hAnsi="宋体" w:cs="宋体"/>
                <w:szCs w:val="21"/>
              </w:rPr>
              <w:t>应对风险和机会的策划</w:t>
            </w:r>
          </w:p>
        </w:tc>
        <w:tc>
          <w:tcPr>
            <w:tcW w:w="1157" w:type="dxa"/>
            <w:vAlign w:val="center"/>
          </w:tcPr>
          <w:p>
            <w:pPr>
              <w:spacing w:line="360" w:lineRule="auto"/>
              <w:rPr>
                <w:rFonts w:hint="eastAsia" w:ascii="宋体" w:hAnsi="宋体" w:cs="宋体"/>
                <w:szCs w:val="21"/>
                <w:lang w:val="en-US" w:eastAsia="zh-CN"/>
              </w:rPr>
            </w:pPr>
            <w:r>
              <w:rPr>
                <w:rFonts w:hint="eastAsia" w:ascii="宋体" w:hAnsi="宋体" w:cs="宋体"/>
                <w:szCs w:val="21"/>
              </w:rPr>
              <w:t>E</w:t>
            </w:r>
            <w:r>
              <w:rPr>
                <w:rFonts w:hint="eastAsia" w:ascii="宋体" w:hAnsi="宋体" w:cs="宋体"/>
                <w:szCs w:val="21"/>
                <w:lang w:val="en-US" w:eastAsia="zh-CN"/>
              </w:rPr>
              <w:t>O：6.1.1</w:t>
            </w:r>
          </w:p>
        </w:tc>
        <w:tc>
          <w:tcPr>
            <w:tcW w:w="10004" w:type="dxa"/>
            <w:vAlign w:val="center"/>
          </w:tcPr>
          <w:p>
            <w:pPr>
              <w:spacing w:line="360" w:lineRule="auto"/>
              <w:rPr>
                <w:rFonts w:hint="eastAsia" w:ascii="宋体" w:hAnsi="宋体" w:cs="宋体"/>
                <w:szCs w:val="21"/>
                <w:lang w:val="en-US" w:eastAsia="zh-CN"/>
              </w:rPr>
            </w:pPr>
            <w:r>
              <w:rPr>
                <w:rFonts w:hint="eastAsia" w:ascii="宋体" w:hAnsi="宋体" w:cs="宋体"/>
                <w:szCs w:val="21"/>
                <w:lang w:val="en-US" w:eastAsia="zh-CN"/>
              </w:rPr>
              <w:t>编制了《风险和机遇的应对措施控制程序》。</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查见《风险和机遇评估分析表》，确定了组织需应对的风险和机遇。</w:t>
            </w:r>
          </w:p>
          <w:p>
            <w:pPr>
              <w:spacing w:line="360" w:lineRule="auto"/>
              <w:rPr>
                <w:rFonts w:hint="eastAsia" w:ascii="宋体" w:hAnsi="宋体" w:cs="宋体"/>
                <w:szCs w:val="21"/>
                <w:lang w:val="zh-CN" w:eastAsia="zh-CN"/>
              </w:rPr>
            </w:pPr>
            <w:r>
              <w:rPr>
                <w:rFonts w:hint="default" w:ascii="宋体" w:hAnsi="宋体" w:cs="宋体"/>
                <w:szCs w:val="21"/>
                <w:lang w:val="en-US" w:eastAsia="zh-CN"/>
              </w:rPr>
              <w:t>如风险：</w:t>
            </w:r>
            <w:r>
              <w:rPr>
                <w:rFonts w:hint="eastAsia" w:ascii="宋体" w:hAnsi="宋体" w:cs="宋体"/>
                <w:szCs w:val="21"/>
                <w:lang w:val="en-US" w:eastAsia="zh-CN"/>
              </w:rPr>
              <w:t>消防设施</w:t>
            </w:r>
            <w:r>
              <w:rPr>
                <w:rFonts w:hint="default" w:ascii="宋体" w:hAnsi="宋体" w:cs="宋体"/>
                <w:szCs w:val="21"/>
                <w:lang w:val="en-US" w:eastAsia="zh-CN"/>
              </w:rPr>
              <w:t>不够健全；等级：</w:t>
            </w:r>
            <w:r>
              <w:rPr>
                <w:rFonts w:hint="eastAsia" w:ascii="宋体" w:hAnsi="宋体" w:cs="宋体"/>
                <w:szCs w:val="21"/>
                <w:lang w:val="en-US" w:eastAsia="zh-CN"/>
              </w:rPr>
              <w:t>一级</w:t>
            </w:r>
            <w:r>
              <w:rPr>
                <w:rFonts w:hint="default" w:ascii="宋体" w:hAnsi="宋体" w:cs="宋体"/>
                <w:szCs w:val="21"/>
                <w:lang w:val="en-US" w:eastAsia="zh-CN"/>
              </w:rPr>
              <w:t>；应对措施：建立健全</w:t>
            </w:r>
            <w:r>
              <w:rPr>
                <w:rFonts w:hint="eastAsia" w:ascii="宋体" w:hAnsi="宋体" w:cs="宋体"/>
                <w:szCs w:val="21"/>
                <w:lang w:val="en-US" w:eastAsia="zh-CN"/>
              </w:rPr>
              <w:t>消防</w:t>
            </w:r>
            <w:r>
              <w:rPr>
                <w:rFonts w:hint="default" w:ascii="宋体" w:hAnsi="宋体" w:cs="宋体"/>
                <w:szCs w:val="21"/>
                <w:lang w:val="en-US" w:eastAsia="zh-CN"/>
              </w:rPr>
              <w:t>制度，严格落实执行；执行部门：</w:t>
            </w:r>
            <w:r>
              <w:rPr>
                <w:rFonts w:hint="eastAsia" w:ascii="宋体" w:hAnsi="宋体" w:cs="宋体"/>
                <w:szCs w:val="21"/>
                <w:lang w:val="en-US" w:eastAsia="zh-CN"/>
              </w:rPr>
              <w:t>办公室</w:t>
            </w:r>
            <w:r>
              <w:rPr>
                <w:rFonts w:hint="default" w:ascii="宋体" w:hAnsi="宋体" w:cs="宋体"/>
                <w:szCs w:val="21"/>
                <w:lang w:val="en-US" w:eastAsia="zh-CN"/>
              </w:rPr>
              <w:t>。组织在确定这些风险和机遇时，考虑了员工岗位技能、</w:t>
            </w:r>
            <w:r>
              <w:rPr>
                <w:rFonts w:hint="eastAsia" w:ascii="宋体" w:hAnsi="宋体" w:cs="宋体"/>
                <w:szCs w:val="21"/>
                <w:lang w:val="en-US" w:eastAsia="zh-CN"/>
              </w:rPr>
              <w:t>员工安全</w:t>
            </w:r>
            <w:r>
              <w:rPr>
                <w:rFonts w:hint="default" w:ascii="宋体" w:hAnsi="宋体" w:cs="宋体"/>
                <w:szCs w:val="21"/>
                <w:lang w:val="en-US" w:eastAsia="zh-CN"/>
              </w:rPr>
              <w:t>等内外部因素及</w:t>
            </w:r>
            <w:r>
              <w:rPr>
                <w:rFonts w:hint="eastAsia" w:ascii="宋体" w:hAnsi="宋体" w:cs="宋体"/>
                <w:szCs w:val="21"/>
                <w:lang w:val="en-US" w:eastAsia="zh-CN"/>
              </w:rPr>
              <w:t>相关方</w:t>
            </w:r>
            <w:r>
              <w:rPr>
                <w:rFonts w:hint="default" w:ascii="宋体" w:hAnsi="宋体" w:cs="宋体"/>
                <w:szCs w:val="21"/>
                <w:lang w:val="en-US" w:eastAsia="zh-CN"/>
              </w:rPr>
              <w:t>的要求。</w:t>
            </w:r>
            <w:r>
              <w:rPr>
                <w:rFonts w:hint="eastAsia" w:ascii="宋体" w:hAnsi="宋体" w:cs="宋体"/>
                <w:szCs w:val="21"/>
                <w:lang w:val="en-US" w:eastAsia="zh-CN"/>
              </w:rPr>
              <w:t>评审情况均为符合发展要求，评审人：邓长龙，评审时间：2021年8月10日.措施正在实施中。</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63" w:type="dxa"/>
            <w:vAlign w:val="center"/>
          </w:tcPr>
          <w:p>
            <w:pPr>
              <w:spacing w:line="360" w:lineRule="auto"/>
              <w:rPr>
                <w:rFonts w:hint="eastAsia" w:ascii="宋体" w:hAnsi="宋体" w:cs="宋体"/>
                <w:szCs w:val="21"/>
                <w:lang w:val="en-US" w:eastAsia="zh-CN"/>
              </w:rPr>
            </w:pPr>
            <w:r>
              <w:rPr>
                <w:rFonts w:hint="eastAsia" w:ascii="宋体" w:hAnsi="宋体" w:cs="宋体"/>
                <w:szCs w:val="21"/>
                <w:lang w:val="en-US" w:eastAsia="zh-CN"/>
              </w:rPr>
              <w:t>风险和机遇应对措施及策划</w:t>
            </w:r>
          </w:p>
        </w:tc>
        <w:tc>
          <w:tcPr>
            <w:tcW w:w="1157" w:type="dxa"/>
            <w:vAlign w:val="center"/>
          </w:tcPr>
          <w:p>
            <w:pPr>
              <w:spacing w:line="360" w:lineRule="auto"/>
              <w:rPr>
                <w:rFonts w:hint="eastAsia" w:ascii="宋体" w:hAnsi="宋体" w:cs="宋体"/>
                <w:szCs w:val="21"/>
                <w:lang w:val="en-US" w:eastAsia="zh-CN"/>
              </w:rPr>
            </w:pPr>
            <w:r>
              <w:rPr>
                <w:rFonts w:hint="eastAsia" w:ascii="宋体" w:hAnsi="宋体" w:cs="宋体"/>
                <w:szCs w:val="21"/>
                <w:lang w:val="en-US" w:eastAsia="zh-CN"/>
              </w:rPr>
              <w:t>Q：6.1</w:t>
            </w:r>
          </w:p>
        </w:tc>
        <w:tc>
          <w:tcPr>
            <w:tcW w:w="10004" w:type="dxa"/>
            <w:vAlign w:val="center"/>
          </w:tcPr>
          <w:p>
            <w:pPr>
              <w:spacing w:line="360" w:lineRule="auto"/>
              <w:rPr>
                <w:rFonts w:hint="eastAsia" w:ascii="宋体" w:hAnsi="宋体" w:cs="宋体"/>
                <w:szCs w:val="21"/>
                <w:lang w:val="en-US" w:eastAsia="zh-CN"/>
              </w:rPr>
            </w:pPr>
            <w:r>
              <w:rPr>
                <w:rFonts w:hint="eastAsia" w:ascii="宋体" w:hAnsi="宋体" w:cs="宋体"/>
                <w:szCs w:val="21"/>
                <w:lang w:val="en-US" w:eastAsia="zh-CN"/>
              </w:rPr>
              <w:t>公司在策划质量管理体系时，为确保质量管理体系能够实现其预期结果、增强有利影响避免或减少不利影响并实现改进，管理者代表考虑公司环境有关的外部和内部因素、相关方的需求和期望，通过推动SWOT分析方法来确定应对风险和机遇措施。</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提供了《风险和机遇评估分析表》，针对识别的内外部风险和机遇，制定了相应的应对措施，针对法律法规的变化，可以要求主要职能部门按照要求加强法律法规的收集评价；针对基础设施的机遇，可以加强维护保养，确保设备的性能和精度长期稳定。</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提供公司质量管理体《过程风险与机遇评价与应对策划表》，对人力资源控制、检验过程、原材料的采购风险、订单评审过程、文件记录管理过程等进行了措施应对策划，内容基本同去年。</w:t>
            </w:r>
          </w:p>
          <w:p>
            <w:pPr>
              <w:spacing w:line="360" w:lineRule="auto"/>
              <w:rPr>
                <w:rFonts w:hint="eastAsia" w:ascii="宋体" w:hAnsi="宋体" w:cs="宋体"/>
                <w:szCs w:val="21"/>
                <w:lang w:val="en-US" w:eastAsia="zh-CN"/>
              </w:rPr>
            </w:pPr>
            <w:r>
              <w:rPr>
                <w:rFonts w:hint="eastAsia" w:ascii="宋体" w:hAnsi="宋体" w:cs="宋体"/>
                <w:szCs w:val="21"/>
                <w:lang w:val="en-US" w:eastAsia="zh-CN"/>
              </w:rPr>
              <w:t>通过制定相应管理制度，在质量管理体系过程中整合并实施这些措施,通过内审和生产调度会等方式评价这些措施的有效性。并保持应对风险和机遇的措施与其对产品和服务符合性的潜在影响相适应。</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63" w:type="dxa"/>
            <w:vAlign w:val="top"/>
          </w:tcPr>
          <w:p>
            <w:pPr>
              <w:spacing w:line="360" w:lineRule="auto"/>
              <w:rPr>
                <w:rFonts w:hint="eastAsia" w:ascii="宋体" w:hAnsi="宋体" w:cs="宋体"/>
                <w:szCs w:val="21"/>
                <w:lang w:val="en-US" w:eastAsia="zh-CN"/>
              </w:rPr>
            </w:pPr>
            <w:r>
              <w:rPr>
                <w:rFonts w:hint="eastAsia" w:ascii="宋体" w:hAnsi="宋体" w:cs="宋体"/>
                <w:szCs w:val="21"/>
                <w:lang w:val="en-US" w:eastAsia="zh-CN"/>
              </w:rPr>
              <w:t>管理目标及其实现的策划</w:t>
            </w:r>
          </w:p>
          <w:p>
            <w:pPr>
              <w:spacing w:line="360" w:lineRule="auto"/>
              <w:rPr>
                <w:rFonts w:hint="eastAsia" w:ascii="宋体" w:hAnsi="宋体" w:cs="宋体"/>
                <w:szCs w:val="21"/>
                <w:lang w:val="en-US" w:eastAsia="zh-CN"/>
              </w:rPr>
            </w:pPr>
          </w:p>
        </w:tc>
        <w:tc>
          <w:tcPr>
            <w:tcW w:w="1157" w:type="dxa"/>
            <w:vAlign w:val="top"/>
          </w:tcPr>
          <w:p>
            <w:pPr>
              <w:spacing w:line="360" w:lineRule="auto"/>
              <w:rPr>
                <w:rFonts w:hint="eastAsia" w:ascii="宋体" w:hAnsi="宋体" w:cs="宋体"/>
                <w:szCs w:val="21"/>
                <w:lang w:val="en-US" w:eastAsia="zh-CN"/>
              </w:rPr>
            </w:pPr>
            <w:r>
              <w:rPr>
                <w:rFonts w:hint="eastAsia" w:ascii="宋体" w:hAnsi="宋体" w:cs="宋体"/>
                <w:szCs w:val="21"/>
                <w:lang w:val="en-US" w:eastAsia="zh-CN"/>
              </w:rPr>
              <w:t>QEO：6.2</w:t>
            </w:r>
          </w:p>
        </w:tc>
        <w:tc>
          <w:tcPr>
            <w:tcW w:w="10004" w:type="dxa"/>
            <w:vAlign w:val="center"/>
          </w:tcPr>
          <w:p>
            <w:pPr>
              <w:spacing w:line="360" w:lineRule="auto"/>
              <w:rPr>
                <w:rFonts w:hint="eastAsia" w:ascii="宋体" w:hAnsi="宋体" w:cs="宋体"/>
                <w:szCs w:val="21"/>
                <w:lang w:val="en-US" w:eastAsia="zh-CN"/>
              </w:rPr>
            </w:pPr>
            <w:r>
              <w:rPr>
                <w:rFonts w:hint="eastAsia" w:ascii="宋体" w:hAnsi="宋体" w:cs="宋体"/>
                <w:szCs w:val="21"/>
                <w:lang w:val="en-US" w:eastAsia="zh-CN"/>
              </w:rPr>
              <w:t>公司目标：</w:t>
            </w:r>
          </w:p>
          <w:p>
            <w:pPr>
              <w:spacing w:line="360" w:lineRule="auto"/>
              <w:rPr>
                <w:rFonts w:hint="eastAsia" w:ascii="宋体" w:hAnsi="宋体" w:cs="宋体"/>
                <w:szCs w:val="21"/>
                <w:lang w:val="en-US" w:eastAsia="zh-CN"/>
              </w:rPr>
            </w:pPr>
            <w:r>
              <w:rPr>
                <w:rFonts w:hint="eastAsia" w:ascii="宋体" w:hAnsi="宋体" w:cs="宋体"/>
                <w:szCs w:val="21"/>
                <w:lang w:val="en-US" w:eastAsia="zh-CN"/>
              </w:rPr>
              <w:t>1、生产产品一次检验合格率98%以上；</w:t>
            </w:r>
          </w:p>
          <w:p>
            <w:pPr>
              <w:spacing w:line="360" w:lineRule="auto"/>
              <w:rPr>
                <w:rFonts w:hint="eastAsia" w:ascii="宋体" w:hAnsi="宋体" w:cs="宋体"/>
                <w:szCs w:val="21"/>
                <w:lang w:val="en-US" w:eastAsia="zh-CN"/>
              </w:rPr>
            </w:pPr>
            <w:r>
              <w:rPr>
                <w:rFonts w:hint="eastAsia" w:ascii="宋体" w:hAnsi="宋体" w:cs="宋体"/>
                <w:szCs w:val="21"/>
                <w:lang w:val="en-US" w:eastAsia="zh-CN"/>
              </w:rPr>
              <w:t>2、顾客满意率达95%以上；</w:t>
            </w:r>
          </w:p>
          <w:p>
            <w:pPr>
              <w:spacing w:line="360" w:lineRule="auto"/>
              <w:rPr>
                <w:rFonts w:hint="eastAsia" w:ascii="宋体" w:hAnsi="宋体" w:cs="宋体"/>
                <w:szCs w:val="21"/>
                <w:lang w:val="en-US" w:eastAsia="zh-CN"/>
              </w:rPr>
            </w:pPr>
            <w:r>
              <w:rPr>
                <w:rFonts w:hint="eastAsia" w:ascii="宋体" w:hAnsi="宋体" w:cs="宋体"/>
                <w:szCs w:val="21"/>
                <w:lang w:val="en-US" w:eastAsia="zh-CN"/>
              </w:rPr>
              <w:t>3、固体废弃物分类收集处理率100%</w:t>
            </w:r>
          </w:p>
          <w:p>
            <w:pPr>
              <w:spacing w:line="360" w:lineRule="auto"/>
              <w:rPr>
                <w:rFonts w:hint="eastAsia" w:ascii="宋体" w:hAnsi="宋体" w:cs="宋体"/>
                <w:szCs w:val="21"/>
                <w:lang w:val="en-US" w:eastAsia="zh-CN"/>
              </w:rPr>
            </w:pPr>
            <w:r>
              <w:rPr>
                <w:rFonts w:hint="eastAsia" w:ascii="宋体" w:hAnsi="宋体" w:cs="宋体"/>
                <w:szCs w:val="21"/>
                <w:lang w:val="en-US" w:eastAsia="zh-CN"/>
              </w:rPr>
              <w:t>4、安全事故0</w:t>
            </w:r>
          </w:p>
          <w:p>
            <w:pPr>
              <w:spacing w:line="360" w:lineRule="auto"/>
              <w:rPr>
                <w:rFonts w:hint="eastAsia" w:ascii="宋体" w:hAnsi="宋体" w:cs="宋体"/>
                <w:szCs w:val="21"/>
                <w:lang w:val="en-US" w:eastAsia="zh-CN"/>
              </w:rPr>
            </w:pPr>
            <w:r>
              <w:rPr>
                <w:rFonts w:hint="eastAsia" w:ascii="宋体" w:hAnsi="宋体" w:cs="宋体"/>
                <w:szCs w:val="21"/>
                <w:lang w:val="en-US" w:eastAsia="zh-CN"/>
              </w:rPr>
              <w:t>5、火灾事故0</w:t>
            </w:r>
          </w:p>
          <w:p>
            <w:pPr>
              <w:spacing w:line="360" w:lineRule="auto"/>
              <w:rPr>
                <w:rFonts w:hint="eastAsia" w:ascii="宋体" w:hAnsi="宋体" w:cs="宋体"/>
                <w:szCs w:val="21"/>
                <w:lang w:val="en-US" w:eastAsia="zh-CN"/>
              </w:rPr>
            </w:pPr>
            <w:r>
              <w:rPr>
                <w:rFonts w:hint="eastAsia" w:ascii="宋体" w:hAnsi="宋体" w:cs="宋体"/>
                <w:szCs w:val="21"/>
                <w:lang w:val="en-US" w:eastAsia="zh-CN"/>
              </w:rPr>
              <w:t>对目标进行了分解，建立了各部门的分目标，每季度末对目标进行考核，查看“2022年目标完成情况统计表”，目标已基本实现。（见各部门考核结果）。</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963" w:type="dxa"/>
            <w:vAlign w:val="center"/>
          </w:tcPr>
          <w:p>
            <w:pPr>
              <w:spacing w:line="360" w:lineRule="auto"/>
              <w:rPr>
                <w:rFonts w:hint="eastAsia" w:ascii="宋体" w:hAnsi="宋体" w:cs="宋体"/>
                <w:szCs w:val="21"/>
                <w:lang w:val="en-US" w:eastAsia="zh-CN"/>
              </w:rPr>
            </w:pPr>
            <w:r>
              <w:rPr>
                <w:rFonts w:hint="eastAsia" w:ascii="宋体" w:hAnsi="宋体" w:cs="宋体"/>
                <w:szCs w:val="21"/>
                <w:lang w:val="en-US" w:eastAsia="zh-CN"/>
              </w:rPr>
              <w:t>变更的策划</w:t>
            </w:r>
          </w:p>
        </w:tc>
        <w:tc>
          <w:tcPr>
            <w:tcW w:w="1157" w:type="dxa"/>
            <w:vAlign w:val="center"/>
          </w:tcPr>
          <w:p>
            <w:pPr>
              <w:spacing w:line="360" w:lineRule="auto"/>
              <w:rPr>
                <w:rFonts w:hint="eastAsia" w:ascii="宋体" w:hAnsi="宋体" w:cs="宋体"/>
                <w:szCs w:val="21"/>
                <w:lang w:val="en-US" w:eastAsia="zh-CN"/>
              </w:rPr>
            </w:pPr>
            <w:r>
              <w:rPr>
                <w:rFonts w:hint="eastAsia" w:ascii="宋体" w:hAnsi="宋体" w:cs="宋体"/>
                <w:szCs w:val="21"/>
                <w:lang w:val="en-US" w:eastAsia="zh-CN"/>
              </w:rPr>
              <w:t>Q：6.3</w:t>
            </w:r>
          </w:p>
        </w:tc>
        <w:tc>
          <w:tcPr>
            <w:tcW w:w="10004" w:type="dxa"/>
            <w:vAlign w:val="center"/>
          </w:tcPr>
          <w:p>
            <w:pPr>
              <w:spacing w:line="360" w:lineRule="auto"/>
              <w:rPr>
                <w:rFonts w:hint="eastAsia" w:ascii="宋体" w:hAnsi="宋体" w:cs="宋体"/>
                <w:szCs w:val="21"/>
                <w:lang w:val="en-US" w:eastAsia="zh-CN"/>
              </w:rPr>
            </w:pPr>
            <w:r>
              <w:rPr>
                <w:rFonts w:hint="eastAsia" w:ascii="宋体" w:hAnsi="宋体" w:cs="宋体"/>
                <w:szCs w:val="21"/>
                <w:lang w:val="en-US" w:eastAsia="zh-CN"/>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963" w:type="dxa"/>
            <w:vAlign w:val="top"/>
          </w:tcPr>
          <w:p>
            <w:pPr>
              <w:spacing w:line="360" w:lineRule="auto"/>
            </w:pPr>
            <w:r>
              <w:rPr>
                <w:rFonts w:hint="eastAsia"/>
              </w:rPr>
              <w:t>资源、总则</w:t>
            </w:r>
          </w:p>
        </w:tc>
        <w:tc>
          <w:tcPr>
            <w:tcW w:w="1157" w:type="dxa"/>
            <w:vAlign w:val="top"/>
          </w:tcPr>
          <w:p>
            <w:pPr>
              <w:spacing w:line="360" w:lineRule="auto"/>
            </w:pPr>
            <w:r>
              <w:rPr>
                <w:rFonts w:hint="eastAsia"/>
              </w:rPr>
              <w:t>Q7.1.1</w:t>
            </w:r>
          </w:p>
          <w:p>
            <w:pPr>
              <w:spacing w:line="360" w:lineRule="auto"/>
            </w:pPr>
            <w:r>
              <w:rPr>
                <w:rFonts w:hint="eastAsia"/>
              </w:rPr>
              <w:t>E</w:t>
            </w:r>
            <w:r>
              <w:t>O</w:t>
            </w:r>
            <w:r>
              <w:rPr>
                <w:rFonts w:hint="eastAsia"/>
              </w:rPr>
              <w:t>7.1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rPr>
            </w:pPr>
            <w:r>
              <w:rPr>
                <w:rFonts w:hint="eastAsia" w:ascii="Times New Roman" w:hAnsi="Times New Roman" w:eastAsia="宋体" w:cs="Times New Roman"/>
              </w:rPr>
              <w:t>总经理/体系负责人介绍及</w:t>
            </w:r>
            <w:r>
              <w:rPr>
                <w:rFonts w:hint="eastAsia" w:ascii="Times New Roman" w:hAnsi="Times New Roman" w:eastAsia="宋体" w:cs="Times New Roman"/>
                <w:lang w:val="en-US" w:eastAsia="zh-CN"/>
              </w:rPr>
              <w:t>视频</w:t>
            </w:r>
            <w:r>
              <w:rPr>
                <w:rFonts w:hint="eastAsia" w:ascii="Times New Roman" w:hAnsi="Times New Roman" w:eastAsia="宋体" w:cs="Times New Roman"/>
              </w:rPr>
              <w:t>观察：</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rPr>
            </w:pPr>
            <w:r>
              <w:rPr>
                <w:rFonts w:hint="eastAsia" w:ascii="Times New Roman" w:hAnsi="Times New Roman" w:eastAsia="宋体" w:cs="Times New Roman"/>
              </w:rPr>
              <w:t>组织能确定并提供建立、实施、保持管理体系所需的资源，包括内部资源，考虑现有内部资源的能力，将增加人员的引进和培训，提高服务能力，并适时考虑外部资源（从外部供方获得的资源）。</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rPr>
            </w:pPr>
            <w:r>
              <w:rPr>
                <w:rFonts w:hint="eastAsia" w:ascii="Times New Roman" w:hAnsi="Times New Roman" w:eastAsia="宋体" w:cs="Times New Roman"/>
              </w:rPr>
              <w:t>覆盖产品/服务/活动及体系运行所需的资源，主要有：</w:t>
            </w:r>
          </w:p>
          <w:p>
            <w:pPr>
              <w:spacing w:line="360" w:lineRule="auto"/>
              <w:rPr>
                <w:rFonts w:hint="eastAsia" w:ascii="宋体" w:hAnsi="宋体" w:eastAsia="宋体" w:cs="宋体"/>
                <w:szCs w:val="21"/>
                <w:lang w:val="en-US" w:eastAsia="zh-CN"/>
              </w:rPr>
            </w:pPr>
            <w:r>
              <w:rPr>
                <w:rFonts w:hint="eastAsia" w:ascii="Times New Roman" w:hAnsi="Times New Roman" w:eastAsia="宋体" w:cs="Times New Roman"/>
              </w:rPr>
              <w:t>a. 人力资</w:t>
            </w:r>
            <w:r>
              <w:rPr>
                <w:rFonts w:hint="eastAsia" w:ascii="宋体" w:hAnsi="宋体" w:eastAsia="宋体" w:cs="宋体"/>
                <w:szCs w:val="21"/>
                <w:lang w:val="en-US" w:eastAsia="zh-CN"/>
              </w:rPr>
              <w:t>源：公司共有员工20人，其中管理人员4人，技术人员：工程师等</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b. 基础设施：主要生产设备：配料机、输送机、搅拌机、搅拌机、输送机、成型机、升板机、窑车、降板机、降板输送机、砖板分离、推板机、链板机、劈裂机、码垛机、电脑、复印件、打印机、电子吊秤、游标卡尺、地磅等，</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c. 工作环境：配有厂房、仓库、办公区域等。</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d. 资金支持：注册资本3960万元</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厂房为租赁厂房，查厂房租赁合同，合同在有效期内。</w:t>
            </w:r>
          </w:p>
          <w:p>
            <w:pPr>
              <w:spacing w:line="360" w:lineRule="auto"/>
            </w:pPr>
            <w:r>
              <w:rPr>
                <w:rFonts w:hint="eastAsia" w:ascii="宋体" w:hAnsi="宋体" w:eastAsia="宋体" w:cs="宋体"/>
                <w:szCs w:val="21"/>
                <w:lang w:val="en-US" w:eastAsia="zh-CN"/>
              </w:rPr>
              <w:t>能够满足产品生产及服务需要。</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963"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rPr>
              <w:t>沟通</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 xml:space="preserve">QEO </w:t>
            </w:r>
            <w:r>
              <w:rPr>
                <w:rFonts w:hint="eastAsia" w:ascii="Times New Roman" w:hAnsi="Times New Roman" w:eastAsia="宋体" w:cs="Times New Roman"/>
              </w:rPr>
              <w:t>：7.4</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lang w:val="en-US" w:eastAsia="zh-CN"/>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rPr>
            </w:pPr>
            <w:r>
              <w:rPr>
                <w:rFonts w:hint="eastAsia" w:ascii="Times New Roman" w:hAnsi="Times New Roman" w:eastAsia="宋体" w:cs="Times New Roman"/>
              </w:rPr>
              <w:t>组织在各部门之间建立了与体系有关的信息通渠沟道，借助于会议、电话、口头交流等方式使全体员工达到沟通和理解。目前各部门协调一致，工作上的借口基本理顺。</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rPr>
            </w:pPr>
            <w:r>
              <w:rPr>
                <w:rFonts w:hint="eastAsia" w:ascii="Times New Roman" w:hAnsi="Times New Roman" w:eastAsia="宋体" w:cs="Times New Roman"/>
              </w:rPr>
              <w:t xml:space="preserve">总经理邓长龙定期主持办公例会，分析公司的发展、市场情况和体系运行是否有效，管理目标完成情况，满足顾客要求和法规程度，改进建议等内部管理存在问题等。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rPr>
            </w:pPr>
            <w:r>
              <w:rPr>
                <w:rFonts w:hint="eastAsia" w:ascii="Times New Roman" w:hAnsi="Times New Roman" w:eastAsia="宋体" w:cs="Times New Roman"/>
              </w:rPr>
              <w:t xml:space="preserve">总经理邓长龙为协商、参与提供了时间、机会、培训、资源等保障，明确了沟通、协商、参与渠道，消除了障碍和壁垒。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rPr>
              <w:t>管代</w:t>
            </w:r>
            <w:r>
              <w:rPr>
                <w:rFonts w:hint="eastAsia" w:ascii="Times New Roman" w:hAnsi="Times New Roman" w:eastAsia="宋体" w:cs="Times New Roman"/>
                <w:lang w:val="en-US" w:eastAsia="zh-CN"/>
              </w:rPr>
              <w:t>刘洪彬</w:t>
            </w:r>
            <w:r>
              <w:rPr>
                <w:rFonts w:hint="eastAsia" w:ascii="Times New Roman" w:hAnsi="Times New Roman" w:eastAsia="宋体" w:cs="Times New Roman"/>
              </w:rPr>
              <w:t>介绍组织，规模不大，人员不多，组织为各部门管理人员及非管理类工作人员明确了职责和权限，在确定相关方的需求和期望时进行了适当的协商，参与了质量方针和目标的制定和评审。日常对于质量信息主要利用会议、培训、座谈、电话、网络、收文等方式进行内外部沟通和协商。</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63" w:type="dxa"/>
            <w:vAlign w:val="center"/>
          </w:tcPr>
          <w:p>
            <w:pPr>
              <w:spacing w:line="360" w:lineRule="auto"/>
              <w:jc w:val="both"/>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绩效测量和监视</w:t>
            </w:r>
          </w:p>
        </w:tc>
        <w:tc>
          <w:tcPr>
            <w:tcW w:w="1157" w:type="dxa"/>
            <w:vAlign w:val="center"/>
          </w:tcPr>
          <w:p>
            <w:pPr>
              <w:spacing w:line="360" w:lineRule="auto"/>
              <w:jc w:val="both"/>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Q</w:t>
            </w: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rPr>
              <w:t>9.1.1</w:t>
            </w:r>
          </w:p>
          <w:p>
            <w:pPr>
              <w:spacing w:line="360" w:lineRule="auto"/>
              <w:jc w:val="both"/>
              <w:rPr>
                <w:rFonts w:hint="eastAsia" w:ascii="Times New Roman" w:hAnsi="Times New Roman" w:eastAsia="宋体" w:cs="Times New Roman"/>
                <w:color w:val="000000"/>
                <w:szCs w:val="21"/>
              </w:rPr>
            </w:pPr>
          </w:p>
        </w:tc>
        <w:tc>
          <w:tcPr>
            <w:tcW w:w="10004" w:type="dxa"/>
            <w:vAlign w:val="center"/>
          </w:tcPr>
          <w:p>
            <w:pPr>
              <w:spacing w:line="360" w:lineRule="auto"/>
              <w:jc w:val="both"/>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公司编制了《内部审核控制程序 》、《管理评审控制程序》，对体系的运行进行测量和监视； 编制了《顾客满意度控制程序》对销售服务的质量特性进行监视和测量，以验证其符合要求的程度，确保服务符合要求；制定《管理体系监视和测量控制程序》，为保证公司质量管理体系的有效运行，通过对管理绩效的监视与测量，确保体系运行的有效性。</w:t>
            </w:r>
          </w:p>
          <w:p>
            <w:pPr>
              <w:spacing w:line="360" w:lineRule="auto"/>
              <w:jc w:val="both"/>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查阅“部门质量目标策划及考核记录表”，</w:t>
            </w:r>
          </w:p>
          <w:p>
            <w:pPr>
              <w:spacing w:line="360" w:lineRule="auto"/>
              <w:jc w:val="both"/>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提供两个季度的管理目标指标的检查考核工作，均完成目标考核要求。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63" w:type="dxa"/>
            <w:vAlign w:val="top"/>
          </w:tcPr>
          <w:p>
            <w:pPr>
              <w:spacing w:line="360" w:lineRule="auto"/>
              <w:jc w:val="both"/>
              <w:rPr>
                <w:rFonts w:hint="eastAsia" w:ascii="Times New Roman" w:hAnsi="Times New Roman" w:eastAsia="宋体" w:cs="Times New Roman"/>
                <w:color w:val="000000"/>
                <w:szCs w:val="21"/>
              </w:rPr>
            </w:pPr>
          </w:p>
          <w:p>
            <w:pPr>
              <w:spacing w:line="360" w:lineRule="auto"/>
              <w:jc w:val="both"/>
              <w:rPr>
                <w:rFonts w:hint="eastAsia" w:ascii="Times New Roman" w:hAnsi="Times New Roman" w:eastAsia="宋体" w:cs="Times New Roman"/>
                <w:color w:val="000000"/>
                <w:szCs w:val="21"/>
              </w:rPr>
            </w:pPr>
          </w:p>
          <w:p>
            <w:pPr>
              <w:spacing w:line="360" w:lineRule="auto"/>
              <w:jc w:val="both"/>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管理评审</w:t>
            </w:r>
          </w:p>
          <w:p>
            <w:pPr>
              <w:spacing w:line="360" w:lineRule="auto"/>
              <w:jc w:val="both"/>
              <w:rPr>
                <w:rFonts w:hint="eastAsia" w:ascii="Times New Roman" w:hAnsi="Times New Roman" w:eastAsia="宋体" w:cs="Times New Roman"/>
                <w:color w:val="000000"/>
                <w:szCs w:val="21"/>
              </w:rPr>
            </w:pPr>
          </w:p>
        </w:tc>
        <w:tc>
          <w:tcPr>
            <w:tcW w:w="1157" w:type="dxa"/>
            <w:vAlign w:val="top"/>
          </w:tcPr>
          <w:p>
            <w:pPr>
              <w:spacing w:line="360" w:lineRule="auto"/>
              <w:jc w:val="both"/>
              <w:rPr>
                <w:rFonts w:hint="eastAsia" w:ascii="Times New Roman" w:hAnsi="Times New Roman" w:eastAsia="宋体" w:cs="Times New Roman"/>
                <w:color w:val="000000"/>
                <w:szCs w:val="21"/>
              </w:rPr>
            </w:pPr>
          </w:p>
          <w:p>
            <w:pPr>
              <w:spacing w:line="360" w:lineRule="auto"/>
              <w:jc w:val="both"/>
              <w:rPr>
                <w:rFonts w:hint="eastAsia" w:ascii="Times New Roman" w:hAnsi="Times New Roman" w:eastAsia="宋体" w:cs="Times New Roman"/>
                <w:color w:val="000000"/>
                <w:szCs w:val="21"/>
              </w:rPr>
            </w:pPr>
          </w:p>
          <w:p>
            <w:pPr>
              <w:spacing w:line="360" w:lineRule="auto"/>
              <w:jc w:val="both"/>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QEO</w:t>
            </w: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rPr>
              <w:t>9.3</w:t>
            </w:r>
          </w:p>
        </w:tc>
        <w:tc>
          <w:tcPr>
            <w:tcW w:w="10004" w:type="dxa"/>
            <w:vAlign w:val="center"/>
          </w:tcPr>
          <w:p>
            <w:pPr>
              <w:spacing w:line="360" w:lineRule="auto"/>
              <w:jc w:val="both"/>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查策划：在《管理评审程序》中明确了管理评审的实施要求。策划每年进行一次管理评审，间隔不超过12个月。</w:t>
            </w:r>
          </w:p>
          <w:p>
            <w:pPr>
              <w:spacing w:line="360" w:lineRule="auto"/>
              <w:jc w:val="both"/>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查阅公司管理评审资料，提供：</w:t>
            </w:r>
          </w:p>
          <w:p>
            <w:pPr>
              <w:spacing w:line="360" w:lineRule="auto"/>
              <w:jc w:val="both"/>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1.管理评审计划</w:t>
            </w:r>
          </w:p>
          <w:p>
            <w:pPr>
              <w:spacing w:line="360" w:lineRule="auto"/>
              <w:jc w:val="both"/>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评审时间：2021年9月20日进行，评审方式：会议评审，查《管理评审计划》，编制：刘洪彬 ，批准：</w:t>
            </w:r>
            <w:r>
              <w:rPr>
                <w:rFonts w:hint="eastAsia" w:ascii="Times New Roman" w:hAnsi="Times New Roman" w:eastAsia="宋体" w:cs="Times New Roman"/>
                <w:color w:val="000000"/>
                <w:szCs w:val="21"/>
                <w:lang w:val="en-US" w:eastAsia="zh-CN"/>
              </w:rPr>
              <w:t>邓长龙</w:t>
            </w:r>
            <w:r>
              <w:rPr>
                <w:rFonts w:hint="eastAsia" w:ascii="Times New Roman" w:hAnsi="Times New Roman" w:eastAsia="宋体" w:cs="Times New Roman"/>
                <w:color w:val="000000"/>
                <w:szCs w:val="21"/>
              </w:rPr>
              <w:t>。参加人员：总经理、管代及各部门负责人，计划中明确了评审内容和资料准备要求。</w:t>
            </w:r>
          </w:p>
          <w:p>
            <w:pPr>
              <w:spacing w:line="360" w:lineRule="auto"/>
              <w:jc w:val="both"/>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2.管理评审会议记录</w:t>
            </w:r>
          </w:p>
          <w:p>
            <w:pPr>
              <w:spacing w:line="360" w:lineRule="auto"/>
              <w:jc w:val="both"/>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2021年9月20日，由邓长龙主持人， 参加人员：管代</w:t>
            </w: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rPr>
              <w:t xml:space="preserve">各部门主管。  </w:t>
            </w:r>
          </w:p>
          <w:p>
            <w:pPr>
              <w:spacing w:line="360" w:lineRule="auto"/>
              <w:jc w:val="both"/>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rPr>
              <w:t>管理评审内容包括：内部审核情况；方针适宜性及质量目标达成情况；顾客投诉及处理、客户满意度调查情况；产品质量状况及过程业绩；预防及纠正措施实施情况及效果性；以往管理评审的跟踪措施；体系的变更及改进的建议等</w:t>
            </w: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rPr>
              <w:t>资源的充分性</w:t>
            </w: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rPr>
              <w:t>风险和机遇措施的有效性</w:t>
            </w: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rPr>
              <w:t>企业内外部环境变化影响</w:t>
            </w: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rPr>
              <w:t>《环境运行情况报告》</w:t>
            </w: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rPr>
              <w:t>《职业健康安全运行情况报告》（包括相关沟通信息、投诉及协商结果）</w:t>
            </w:r>
            <w:r>
              <w:rPr>
                <w:rFonts w:hint="eastAsia" w:ascii="Times New Roman" w:hAnsi="Times New Roman" w:eastAsia="宋体" w:cs="Times New Roman"/>
                <w:color w:val="000000"/>
                <w:szCs w:val="21"/>
                <w:lang w:eastAsia="zh-CN"/>
              </w:rPr>
              <w:t>。</w:t>
            </w:r>
          </w:p>
          <w:p>
            <w:pPr>
              <w:spacing w:line="360" w:lineRule="auto"/>
              <w:jc w:val="both"/>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3、</w:t>
            </w:r>
            <w:r>
              <w:rPr>
                <w:rFonts w:hint="eastAsia" w:ascii="Times New Roman" w:hAnsi="Times New Roman" w:eastAsia="宋体" w:cs="Times New Roman"/>
                <w:color w:val="000000"/>
                <w:szCs w:val="21"/>
              </w:rPr>
              <w:t>管理评审结论：公司的管理方针、管理目标能够适宜目前公司的状况，公司的质量管理体系基本上是适宜、有效、充分的，能够满足顾客要求，符合法律法规和标准的要求</w:t>
            </w: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rPr>
              <w:t>公司的质量管理体系基本适宜、充分和有效。</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63" w:type="dxa"/>
            <w:vAlign w:val="top"/>
          </w:tcPr>
          <w:p>
            <w:pPr>
              <w:spacing w:line="360" w:lineRule="auto"/>
              <w:jc w:val="both"/>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总则</w:t>
            </w:r>
          </w:p>
        </w:tc>
        <w:tc>
          <w:tcPr>
            <w:tcW w:w="1157" w:type="dxa"/>
            <w:vAlign w:val="top"/>
          </w:tcPr>
          <w:p>
            <w:pPr>
              <w:spacing w:line="360" w:lineRule="auto"/>
              <w:jc w:val="both"/>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 xml:space="preserve">QEO </w:t>
            </w: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rPr>
              <w:t>10.1</w:t>
            </w:r>
          </w:p>
        </w:tc>
        <w:tc>
          <w:tcPr>
            <w:tcW w:w="10004" w:type="dxa"/>
            <w:vAlign w:val="top"/>
          </w:tcPr>
          <w:p>
            <w:pPr>
              <w:spacing w:line="360" w:lineRule="auto"/>
              <w:jc w:val="both"/>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 xml:space="preserve">综合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60" w:lineRule="auto"/>
              <w:jc w:val="both"/>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 xml:space="preserve"> ——具体事实可见审核10.2条款记录。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63"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rPr>
              <w:t>持续改进</w:t>
            </w:r>
          </w:p>
        </w:tc>
        <w:tc>
          <w:tcPr>
            <w:tcW w:w="1157"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rPr>
              <w:t>QE</w:t>
            </w:r>
            <w:r>
              <w:t>O</w:t>
            </w:r>
            <w:r>
              <w:rPr>
                <w:rFonts w:hint="eastAsia"/>
              </w:rPr>
              <w:t xml:space="preserve"> 10.3</w:t>
            </w:r>
          </w:p>
        </w:tc>
        <w:tc>
          <w:tcPr>
            <w:tcW w:w="10004" w:type="dxa"/>
            <w:vAlign w:val="center"/>
          </w:tcPr>
          <w:p>
            <w:pPr>
              <w:spacing w:line="360" w:lineRule="auto"/>
              <w:rPr>
                <w:rFonts w:ascii="宋体" w:hAnsi="宋体" w:cs="宋体"/>
                <w:szCs w:val="21"/>
              </w:rPr>
            </w:pPr>
            <w:r>
              <w:rPr>
                <w:rFonts w:hint="eastAsia" w:ascii="宋体" w:hAnsi="宋体" w:cs="宋体"/>
                <w:szCs w:val="21"/>
              </w:rPr>
              <w:t xml:space="preserve">    在《管理手册》中明确“持续改进”的要求，并编制《改进管理程序》。</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据体系负责人介绍：总经理负责识别组织变更、风险变更并作改进，检验部及各部门配合负责数据分析，并利用分析结果改进管理体系。</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总经理及体系负责人介绍：组织确定并选择了改进机会，包括：改进服务以满足要求并关注未来的需求和期望、纠正、预防或减少不利影响、改进管理体系的绩效和有效性，并采取必要措施，以满足顾客要求和增强顾客满意要求，满足环境和职业健康安全法律法规，提升环境和职业健康安全绩效等方面。</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在持续改进方面，制定了《不合格控制程序》、《纠正措施控制程序》、《风险和机遇的应对措施控制程序》等相关文件化信息要求.</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rPr>
              <w:t>并考虑了分析、评价结果，确定是否存在应关注的持续改进的需求和机遇，公司利用管理方针、目标、内审和外审、数据分析、纠正和预防措施以及管理评审，识别任何改进的机会，持续改进管理体系的适宜性、充分性和有效性。详见相关条款审核记录。</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6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0"/>
              <w:textAlignment w:val="auto"/>
              <w:rPr>
                <w:rFonts w:hint="eastAsia" w:ascii="宋体" w:hAnsi="宋体" w:eastAsia="宋体" w:cs="宋体"/>
                <w:sz w:val="24"/>
                <w:szCs w:val="24"/>
              </w:rPr>
            </w:pPr>
            <w:r>
              <w:rPr>
                <w:rFonts w:hint="eastAsia" w:ascii="宋体" w:hAnsi="宋体" w:eastAsia="宋体" w:cs="宋体"/>
                <w:szCs w:val="21"/>
              </w:rPr>
              <w:t>标准、规范、法规的执行情况；上次审核不符合项的验证；认证证书、标志的使用情况；投诉或事故；监督抽查情况；体系变化</w:t>
            </w:r>
          </w:p>
        </w:tc>
        <w:tc>
          <w:tcPr>
            <w:tcW w:w="1157" w:type="dxa"/>
            <w:vAlign w:val="center"/>
          </w:tcPr>
          <w:p>
            <w:pPr>
              <w:spacing w:line="360" w:lineRule="auto"/>
              <w:rPr>
                <w:rFonts w:hint="eastAsia" w:ascii="宋体" w:hAnsi="宋体" w:eastAsia="宋体" w:cs="宋体"/>
                <w:szCs w:val="21"/>
              </w:rPr>
            </w:pPr>
          </w:p>
        </w:tc>
        <w:tc>
          <w:tcPr>
            <w:tcW w:w="10004" w:type="dxa"/>
          </w:tcPr>
          <w:p>
            <w:pPr>
              <w:spacing w:line="360" w:lineRule="auto"/>
              <w:rPr>
                <w:rFonts w:hint="eastAsia" w:ascii="宋体" w:hAnsi="宋体" w:eastAsia="宋体" w:cs="宋体"/>
                <w:szCs w:val="21"/>
              </w:rPr>
            </w:pPr>
            <w:r>
              <w:rPr>
                <w:rFonts w:hint="eastAsia" w:ascii="宋体" w:hAnsi="宋体" w:eastAsia="宋体" w:cs="宋体"/>
                <w:szCs w:val="21"/>
              </w:rPr>
              <w:t>标准/规范/法规的执行情况：符合要求</w:t>
            </w:r>
          </w:p>
          <w:p>
            <w:pPr>
              <w:spacing w:line="360" w:lineRule="auto"/>
              <w:rPr>
                <w:rFonts w:hint="eastAsia" w:ascii="宋体" w:hAnsi="宋体" w:eastAsia="宋体" w:cs="宋体"/>
                <w:szCs w:val="21"/>
              </w:rPr>
            </w:pPr>
            <w:r>
              <w:rPr>
                <w:rFonts w:hint="eastAsia" w:ascii="宋体" w:hAnsi="宋体" w:eastAsia="宋体" w:cs="宋体"/>
                <w:szCs w:val="21"/>
              </w:rPr>
              <w:t>上次审核不符合项已整改，未发生类似不符合。</w:t>
            </w:r>
          </w:p>
          <w:p>
            <w:pPr>
              <w:spacing w:line="360" w:lineRule="auto"/>
              <w:rPr>
                <w:rFonts w:hint="eastAsia" w:ascii="宋体" w:hAnsi="宋体" w:eastAsia="宋体" w:cs="宋体"/>
                <w:szCs w:val="21"/>
              </w:rPr>
            </w:pPr>
            <w:r>
              <w:rPr>
                <w:rFonts w:hint="eastAsia" w:ascii="宋体" w:hAnsi="宋体" w:eastAsia="宋体" w:cs="宋体"/>
                <w:szCs w:val="21"/>
              </w:rPr>
              <w:t>认证证书、标志的使用情况：主要用于投标，查看投标文件，宣传资料等，未发现违规使用证据</w:t>
            </w:r>
          </w:p>
          <w:p>
            <w:pPr>
              <w:spacing w:line="360" w:lineRule="auto"/>
              <w:rPr>
                <w:rFonts w:hint="eastAsia" w:ascii="宋体" w:hAnsi="宋体" w:eastAsia="宋体" w:cs="宋体"/>
                <w:szCs w:val="21"/>
              </w:rPr>
            </w:pPr>
            <w:r>
              <w:rPr>
                <w:rFonts w:hint="eastAsia" w:ascii="宋体" w:hAnsi="宋体" w:eastAsia="宋体" w:cs="宋体"/>
                <w:szCs w:val="21"/>
              </w:rPr>
              <w:t>投诉或事故：无</w:t>
            </w:r>
          </w:p>
          <w:p>
            <w:pPr>
              <w:spacing w:line="360" w:lineRule="auto"/>
              <w:rPr>
                <w:rFonts w:hint="eastAsia" w:ascii="宋体" w:hAnsi="宋体" w:eastAsia="宋体" w:cs="宋体"/>
                <w:szCs w:val="21"/>
              </w:rPr>
            </w:pPr>
            <w:r>
              <w:rPr>
                <w:rFonts w:hint="eastAsia" w:ascii="宋体" w:hAnsi="宋体" w:eastAsia="宋体" w:cs="宋体"/>
                <w:szCs w:val="21"/>
              </w:rPr>
              <w:t>监督抽查情况：无</w:t>
            </w:r>
          </w:p>
          <w:p>
            <w:pPr>
              <w:spacing w:line="360" w:lineRule="auto"/>
              <w:rPr>
                <w:rFonts w:hint="eastAsia" w:ascii="宋体" w:hAnsi="宋体" w:eastAsia="宋体" w:cs="宋体"/>
                <w:szCs w:val="21"/>
              </w:rPr>
            </w:pPr>
            <w:r>
              <w:rPr>
                <w:rFonts w:hint="eastAsia" w:ascii="宋体" w:hAnsi="宋体" w:eastAsia="宋体" w:cs="宋体"/>
                <w:szCs w:val="21"/>
              </w:rPr>
              <w:t>体系变动：无。</w:t>
            </w:r>
          </w:p>
        </w:tc>
        <w:tc>
          <w:tcPr>
            <w:tcW w:w="1585" w:type="dxa"/>
          </w:tcPr>
          <w:p>
            <w:r>
              <w:rPr>
                <w:rFonts w:hint="eastAsia"/>
              </w:rPr>
              <w:t>Y</w:t>
            </w:r>
          </w:p>
        </w:tc>
      </w:tr>
    </w:tbl>
    <w:p>
      <w:pPr>
        <w:spacing w:line="480" w:lineRule="exact"/>
        <w:jc w:val="center"/>
        <w:rPr>
          <w:rFonts w:hint="eastAsia" w:ascii="隶书" w:hAnsi="宋体" w:eastAsia="隶书"/>
          <w:bCs/>
          <w:color w:val="000000"/>
          <w:sz w:val="36"/>
          <w:szCs w:val="36"/>
        </w:rPr>
      </w:pPr>
    </w:p>
    <w:p>
      <w:bookmarkStart w:id="1" w:name="_GoBack"/>
      <w:bookmarkEnd w:id="1"/>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00546F4"/>
    <w:rsid w:val="1592175D"/>
    <w:rsid w:val="2D551AA5"/>
    <w:rsid w:val="4E7F0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 w:type="paragraph" w:styleId="15">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4737</Words>
  <Characters>4959</Characters>
  <Lines>1</Lines>
  <Paragraphs>1</Paragraphs>
  <TotalTime>0</TotalTime>
  <ScaleCrop>false</ScaleCrop>
  <LinksUpToDate>false</LinksUpToDate>
  <CharactersWithSpaces>5063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2022-05-04T17:35:42Z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y fmtid="{D5CDD505-2E9C-101B-9397-08002B2CF9AE}" pid="4" name="commondata">
    <vt:lpwstr>eyJoZGlkIjoiMjJhN2U4Y2Q5MGE2Mzc1MDlkNDVmNzZkYmRlMTYyYjcifQ==</vt:lpwstr>
  </property>
</Properties>
</file>