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河北钦芃新型建材有限公司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2" w:name="专业代码"/>
            <w:r>
              <w:rPr>
                <w:sz w:val="20"/>
              </w:rPr>
              <w:t>Q：16.02.06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E：16.02.06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O：16.02.06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Q：16.02.06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E：16.02.06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O：16.02.06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de-DE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Q：16.02.06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E：16.02.06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>生产工艺流程：</w:t>
            </w:r>
          </w:p>
          <w:p>
            <w:pPr>
              <w:snapToGrid w:val="0"/>
              <w:spacing w:line="360" w:lineRule="auto"/>
              <w:rPr>
                <w:rFonts w:hint="eastAsia" w:ascii="宋体" w:eastAsia="宋体"/>
                <w:b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原料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>材料→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配料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搅拌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>→成型 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劈裂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 xml:space="preserve"> 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成型→切割→养护→检验→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>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/>
                <w:bCs/>
                <w:szCs w:val="21"/>
              </w:rPr>
              <w:t>GB/T</w:t>
            </w:r>
            <w:r>
              <w:rPr>
                <w:rFonts w:hint="eastAsia" w:ascii="楷体" w:hAnsi="楷体" w:eastAsia="楷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Cs/>
                <w:szCs w:val="21"/>
              </w:rPr>
              <w:t>82</w:t>
            </w:r>
            <w:r>
              <w:rPr>
                <w:rFonts w:hint="eastAsia" w:ascii="楷体" w:hAnsi="楷体" w:eastAsia="楷体" w:cs="Times New Roman"/>
                <w:szCs w:val="21"/>
              </w:rPr>
              <w:t>39-2014《普通混凝土小型砌块》、JC/T945-2005《透水砖》、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JC/T899-2016《混泥土路沿石》、JC/T641-2008《装饰混凝土砌块》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ind w:firstLine="402" w:firstLineChars="200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审核技巧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208280</wp:posOffset>
                  </wp:positionV>
                  <wp:extent cx="413385" cy="317500"/>
                  <wp:effectExtent l="0" t="0" r="5715" b="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160655</wp:posOffset>
                  </wp:positionV>
                  <wp:extent cx="375920" cy="288925"/>
                  <wp:effectExtent l="0" t="0" r="5080" b="317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河北钦芃新型建材有限公司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Q：16.02.06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E：16.02.06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O：16.02.06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Q：16.02.06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E：16.02.06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O：16.02.06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de-DE" w:eastAsia="zh-CN"/>
              </w:rPr>
              <w:t>喻荣秋</w:t>
            </w:r>
          </w:p>
        </w:tc>
        <w:tc>
          <w:tcPr>
            <w:tcW w:w="1414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Q：16.02.06</w:t>
            </w:r>
          </w:p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E：16.02.06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>生产工艺流程：</w:t>
            </w:r>
          </w:p>
          <w:p>
            <w:pPr>
              <w:snapToGrid w:val="0"/>
              <w:spacing w:line="360" w:lineRule="auto"/>
              <w:rPr>
                <w:rFonts w:hint="eastAsia" w:ascii="宋体" w:eastAsia="宋体"/>
                <w:b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原料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>材料→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配料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eastAsia="zh-CN"/>
              </w:rPr>
              <w:t>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搅拌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>→成型 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劈裂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 xml:space="preserve"> 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</w:rPr>
              <w:t>成型→切割→养护→检验→</w:t>
            </w:r>
            <w:r>
              <w:rPr>
                <w:rFonts w:hint="eastAsia" w:ascii="宋体"/>
                <w:b/>
                <w:spacing w:val="-6"/>
                <w:sz w:val="21"/>
                <w:szCs w:val="21"/>
                <w:lang w:val="en-US" w:eastAsia="zh-CN"/>
              </w:rPr>
              <w:t>成品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《重要环境因素清单》已识别重要环境因素包括:粉尘的排放、噪声的排放、固体废物排放、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潜在火灾，明确的控制措施和责任部门，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《中华人民共和国水污染防治法》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中华人民共和国固体废弃物污染环境防治法、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8239-2014《普通混凝土小型砌块》、JC/T945-2005《透水砖》、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JC/T899-2016《混泥土路沿石》、JC/T641-2008《装饰混凝土砌块》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提供环境监测报告，对废气进行了监测。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审核技巧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208280</wp:posOffset>
                  </wp:positionV>
                  <wp:extent cx="413385" cy="317500"/>
                  <wp:effectExtent l="0" t="0" r="5715" b="0"/>
                  <wp:wrapNone/>
                  <wp:docPr id="5" name="图片 5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160655</wp:posOffset>
                  </wp:positionV>
                  <wp:extent cx="375920" cy="288925"/>
                  <wp:effectExtent l="0" t="0" r="5080" b="3175"/>
                  <wp:wrapNone/>
                  <wp:docPr id="6" name="图片 6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4586CE7"/>
    <w:rsid w:val="0968491F"/>
    <w:rsid w:val="16D9087B"/>
    <w:rsid w:val="27E406E9"/>
    <w:rsid w:val="63FE2A21"/>
    <w:rsid w:val="6C150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517</Words>
  <Characters>697</Characters>
  <Lines>2</Lines>
  <Paragraphs>1</Paragraphs>
  <TotalTime>1</TotalTime>
  <ScaleCrop>false</ScaleCrop>
  <LinksUpToDate>false</LinksUpToDate>
  <CharactersWithSpaces>711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2022-05-22T00:24:41Z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